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B622" w14:textId="615FB5DA" w:rsidR="00891174" w:rsidRPr="00E23C10" w:rsidRDefault="00B849FC" w:rsidP="00BA2CD5">
      <w:pPr>
        <w:pStyle w:val="Naslov1"/>
      </w:pPr>
      <w:r>
        <w:t>Izjava za javnost</w:t>
      </w:r>
      <w:r w:rsidR="008349D7" w:rsidRPr="00E23C10">
        <w:t xml:space="preserve"> o projektu PoMP</w:t>
      </w:r>
    </w:p>
    <w:p w14:paraId="2818CAED" w14:textId="77777777" w:rsidR="008349D7" w:rsidRDefault="008349D7" w:rsidP="00BA2CD5"/>
    <w:p w14:paraId="2C64A099" w14:textId="77777777" w:rsidR="00BA2CD5" w:rsidRPr="00BA2CD5" w:rsidRDefault="00BA2CD5" w:rsidP="00BA2CD5"/>
    <w:p w14:paraId="342E56CD" w14:textId="224CB8CB" w:rsidR="00446212" w:rsidRDefault="00446212" w:rsidP="00BA2CD5">
      <w:r w:rsidRPr="00BA2CD5">
        <w:rPr>
          <w:b/>
          <w:bCs/>
        </w:rPr>
        <w:t>5 slovenskih partnerjev</w:t>
      </w:r>
      <w:r w:rsidRPr="00C86C03">
        <w:t xml:space="preserve"> (ZRS Bistra Ptuj, Primorski tehnološki park NG, Saša inkubator Velenje, Tehnološki park LJ in Razvojni center NM), ki imajo dolgoletne izkušnje spodbujanja podjetnosti med mladimi, so skozi leta delovanja spoznali pomen spodbujanja kompetenc podjetnosti med mladimi že med njihovih zgodnjim izobraževanjem (osnovna šola, srednja šola) ter pomen, ki ga imajo pri tem učitelji/mentorji, ki mlade dnevno spremljajo. Projekt sloni na različnih evropskih in nacionalnih dokumentih, ki spodbujajo razvijanje kompetenc podjetnosti med mladimi. V projektu bo ves čas trajanja projekta sodeloval tudi norveški partner, </w:t>
      </w:r>
      <w:r w:rsidRPr="00BA2CD5">
        <w:rPr>
          <w:b/>
          <w:bCs/>
        </w:rPr>
        <w:t>Norveška univerza za znanost in tehnologijo</w:t>
      </w:r>
      <w:r w:rsidRPr="00C86C03">
        <w:t>, ki bo vključen že v samem začetku projekta za pripravo Akademije PoMP, z namenom, da se vanjo prenesejo norveške dobre prakse.</w:t>
      </w:r>
    </w:p>
    <w:p w14:paraId="7459FC17" w14:textId="77777777" w:rsidR="00BA2CD5" w:rsidRPr="00C86C03" w:rsidRDefault="00BA2CD5" w:rsidP="00BA2CD5"/>
    <w:p w14:paraId="49B1DC26" w14:textId="2B71D4C4" w:rsidR="00446212" w:rsidRDefault="00446212" w:rsidP="00BA2CD5">
      <w:r w:rsidRPr="00BA2CD5">
        <w:t xml:space="preserve">Glavni cilj projekta je </w:t>
      </w:r>
      <w:r w:rsidRPr="00BA2CD5">
        <w:rPr>
          <w:b/>
          <w:bCs/>
        </w:rPr>
        <w:t>vzpostaviti celovito in trajno podporno okolje, ki spodbuja mlade</w:t>
      </w:r>
      <w:r w:rsidRPr="00BA2CD5">
        <w:t xml:space="preserve"> k iskanju podjetniških idej, oblikovanju modelov podjetij in jim nudi potrebna podjetniška znanja ter </w:t>
      </w:r>
      <w:r w:rsidRPr="009615AC">
        <w:rPr>
          <w:b/>
          <w:bCs/>
        </w:rPr>
        <w:t>razvoj kompetenc podjetnosti,</w:t>
      </w:r>
      <w:r w:rsidRPr="00BA2CD5">
        <w:t xml:space="preserve"> s povezovanjem obstoječih podpornih institucij in obstoječih programe z novo vzpostavljeno storitvijo, </w:t>
      </w:r>
      <w:r w:rsidRPr="00D92CAC">
        <w:t>Akademijo PoMP za učitelje/mentorje</w:t>
      </w:r>
      <w:r w:rsidRPr="00BA2CD5">
        <w:t xml:space="preserve"> z namenom, da se dvigne kakovost podpornih storitev na način, da se izboljšajo spretnosti učiteljev/mentorjev, ki delajo z mladimi. Projekt želi prispevati k dvema izzivoma: k dvigu kompetenc podjetnosti učiteljev/mentorjev in preko le-teh, k dvigu kompetenc podjetnosti med mladimi, z namenom dviga njihovih zaposlitvenih potencialov. </w:t>
      </w:r>
    </w:p>
    <w:p w14:paraId="48FC2C1C" w14:textId="77777777" w:rsidR="00BA2CD5" w:rsidRPr="00BA2CD5" w:rsidRDefault="00BA2CD5" w:rsidP="00BA2CD5"/>
    <w:p w14:paraId="00AFD0F7" w14:textId="7E26FAAA" w:rsidR="00446212" w:rsidRDefault="00446212" w:rsidP="00BA2CD5">
      <w:r w:rsidRPr="00D92CAC">
        <w:rPr>
          <w:b/>
          <w:bCs/>
        </w:rPr>
        <w:t>Glavne ciljne skupine</w:t>
      </w:r>
      <w:r w:rsidRPr="00C86C03">
        <w:t>, ki bodo imele koristi od projekta so: mladi (osnovno- in srednješolci), njihovi učitelji/mentorji, osebje partnerjev projekta, ki bo tekom projekta dvignilo svoje kompetence, podporne in izobraževalne institucije ter zainteresirani posamezniki (podjetniki, svetovalci, učitelji idr.), ki se bodo vključili v trajno mrežo podpornega okolja z namenom trajne podpore mladim.</w:t>
      </w:r>
    </w:p>
    <w:p w14:paraId="386B3688" w14:textId="77777777" w:rsidR="00D92CAC" w:rsidRPr="00C86C03" w:rsidRDefault="00D92CAC" w:rsidP="00BA2CD5"/>
    <w:p w14:paraId="083510E1" w14:textId="77777777" w:rsidR="00A36DEE" w:rsidRDefault="00446212" w:rsidP="00BA2CD5">
      <w:r w:rsidRPr="00C86C03">
        <w:t xml:space="preserve">Izvajali bomo tudi </w:t>
      </w:r>
      <w:r w:rsidRPr="00D92CAC">
        <w:rPr>
          <w:b/>
          <w:bCs/>
        </w:rPr>
        <w:t>Akademijo PoMP za učitelje/mentorje</w:t>
      </w:r>
      <w:r w:rsidRPr="00C86C03">
        <w:t xml:space="preserve"> (predvidoma pomladi in poleti 2023), kjer jih bomo usposobili za mentoriranje učencev na njihovi poti odkrivanja podjetnosti. Akademija PoMP za učitelje/mentorje iz osnovnih in srednjih šol predstavlja skupek praktičnih orodij, metodologij, modulov, srečanj in delavnic za učenje podjetništva med mladimi. Gre za novo storitev v slovenskem prostoru, in sicer </w:t>
      </w:r>
      <w:r w:rsidRPr="00A36DEE">
        <w:rPr>
          <w:b/>
          <w:bCs/>
        </w:rPr>
        <w:t>trajen in prenosljiv program za učitelje/mentorje z namenom prenosa kompetenc podjetnosti na mlade</w:t>
      </w:r>
      <w:r w:rsidRPr="00C86C03">
        <w:t xml:space="preserve">. </w:t>
      </w:r>
    </w:p>
    <w:p w14:paraId="6AF1D9CF" w14:textId="77777777" w:rsidR="00A36DEE" w:rsidRDefault="00A36DEE" w:rsidP="00BA2CD5"/>
    <w:p w14:paraId="6181699A" w14:textId="76D52B7A" w:rsidR="00446212" w:rsidRDefault="00446212" w:rsidP="00BA2CD5">
      <w:r w:rsidRPr="00C86C03">
        <w:t xml:space="preserve">Evropska komisija je med splošne kompetence vseživljenjskega učenja opredelila in zapisala tudi podjetnost, za kar je izrednega pomena, da se udejanji prenos tovrstnih kompetenc na mlade, predvsem na tiste, ki prihajajo iz manj dinamičnih okolij. To bo prispevalo k dvigu njihove zaposljivosti ali samo-zaposljivosti, k vzpostavljanju novih podjetij ter k nastanku bolj podjetne generacije posameznikov, ki bodo </w:t>
      </w:r>
      <w:r w:rsidRPr="00265A01">
        <w:rPr>
          <w:b/>
          <w:bCs/>
        </w:rPr>
        <w:t>kompetence podjetnosti</w:t>
      </w:r>
      <w:r w:rsidRPr="00C86C03">
        <w:t xml:space="preserve"> kot so: kreativnost, timsko delo, pogajalske sposobnosti, javno nastopanje, problemsko usmerjeno razmišljanje ipd. vpeljali, ne le v novoustanovljena podjetja, temveč tudi v procese na delovnih mestih, tako v gospodarskem kot javnem sektorju. Z Akademijo PoMP se bo razširila baza učiteljev/mentorjev, ki bodo preko udeležbe v Akademiji PoMP pridobili ustrezna znanja iz podjetništva in kompetenc podjetnosti, in s tem k neposrednemu učinku zagotavljanja podpore mladim. Mladi bodo že med zgodnjim izobraževanjem (v osnovni in srednji šoli) preko učiteljev/mentorjev, ki se bodo udeležili Akademije PoMP in za mlade organizirali pilotne </w:t>
      </w:r>
      <w:proofErr w:type="spellStart"/>
      <w:r w:rsidRPr="00C86C03">
        <w:t>startup</w:t>
      </w:r>
      <w:proofErr w:type="spellEnd"/>
      <w:r w:rsidRPr="00C86C03">
        <w:t xml:space="preserve"> aktivnosti, spoznali in se naučili kompetenc podjetnosti.</w:t>
      </w:r>
    </w:p>
    <w:p w14:paraId="5B877222" w14:textId="77777777" w:rsidR="00A36DEE" w:rsidRPr="00C86C03" w:rsidRDefault="00A36DEE" w:rsidP="00BA2CD5"/>
    <w:p w14:paraId="3E1EA854" w14:textId="01B0B6C7" w:rsidR="00446212" w:rsidRDefault="00446212" w:rsidP="00BA2CD5">
      <w:r w:rsidRPr="00C86C03">
        <w:t xml:space="preserve">Skupaj z učitelji bomo konec 2023 in začetek 2024 izvedli </w:t>
      </w:r>
      <w:r w:rsidRPr="00265A01">
        <w:rPr>
          <w:b/>
          <w:bCs/>
        </w:rPr>
        <w:t xml:space="preserve">podjetniške </w:t>
      </w:r>
      <w:r w:rsidR="00265A01">
        <w:rPr>
          <w:b/>
          <w:bCs/>
        </w:rPr>
        <w:t>delavnice</w:t>
      </w:r>
      <w:r w:rsidRPr="00265A01">
        <w:rPr>
          <w:b/>
          <w:bCs/>
        </w:rPr>
        <w:t xml:space="preserve"> za učence</w:t>
      </w:r>
      <w:r w:rsidRPr="00C86C03">
        <w:t xml:space="preserve">. Učitelji/mentorji, ki bodo vključeni v Akademijo PoMP, bodo s svojimi učenci izvedli pilotne </w:t>
      </w:r>
      <w:proofErr w:type="spellStart"/>
      <w:r w:rsidRPr="00C86C03">
        <w:t>startup</w:t>
      </w:r>
      <w:proofErr w:type="spellEnd"/>
      <w:r w:rsidRPr="00C86C03">
        <w:t xml:space="preserve"> aktivnosti. Namen takega usposabljanja je zagotoviti večjo zaposljivost ali samo-zaposljivost mladih ter tudi večjo konkurenčnost in fleksibilnost delovne sile. Z izvedbo pilotnih </w:t>
      </w:r>
      <w:proofErr w:type="spellStart"/>
      <w:r w:rsidRPr="00C86C03">
        <w:t>startup</w:t>
      </w:r>
      <w:proofErr w:type="spellEnd"/>
      <w:r w:rsidRPr="00C86C03">
        <w:t xml:space="preserve"> aktivnosti s strani učiteljev/mentorjev bo poskrbljeno tudi za trajnost učinkov, saj jih bodo lahko učitelji/mentorji izvajali tudi po preteku projekta s pomočjo gradiva, ki ga bomo pripravili v projektu. V </w:t>
      </w:r>
      <w:proofErr w:type="spellStart"/>
      <w:r w:rsidRPr="00C86C03">
        <w:t>startup</w:t>
      </w:r>
      <w:proofErr w:type="spellEnd"/>
      <w:r w:rsidRPr="00C86C03">
        <w:t xml:space="preserve"> aktivnosti se bodo tudi po preteku projekta lahko vključevali novi zainteresirani mladi ter novi zainteresirani učitelji/mentorji. </w:t>
      </w:r>
    </w:p>
    <w:p w14:paraId="73609288" w14:textId="77777777" w:rsidR="00E13CC8" w:rsidRPr="00C86C03" w:rsidRDefault="00E13CC8" w:rsidP="00BA2CD5"/>
    <w:p w14:paraId="392C6E2A" w14:textId="77777777" w:rsidR="00446212" w:rsidRPr="00C86C03" w:rsidRDefault="00446212" w:rsidP="00BA2CD5">
      <w:r w:rsidRPr="00C86C03">
        <w:t xml:space="preserve">Aktivnosti projekta PoMP bomo zaključili z izmenjavo dobrih praks z norveškimi partnerji. Najprej bomo mi obiskali naše norveške partnerje v </w:t>
      </w:r>
      <w:proofErr w:type="spellStart"/>
      <w:r w:rsidRPr="00C86C03">
        <w:t>Trondheimu</w:t>
      </w:r>
      <w:proofErr w:type="spellEnd"/>
      <w:r w:rsidRPr="00C86C03">
        <w:t xml:space="preserve"> na Norveškem (predvidoma oktobra 2023), kjer bomo spoznali dobre prakse poučevanja podjetništva ter usposabljanja učiteljev. Sledi obisk norveških partnerjev v Sloveniji (april 2024), kjer bodo širši javnosti predstavili svoje najboljše prakse poučevanja podjetništva in usposabljanja učiteljev. </w:t>
      </w:r>
    </w:p>
    <w:p w14:paraId="788B1E51" w14:textId="77777777" w:rsidR="00446212" w:rsidRPr="00C86C03" w:rsidRDefault="00446212" w:rsidP="00BA2CD5"/>
    <w:p w14:paraId="0C16FA32" w14:textId="24D7960D" w:rsidR="00446212" w:rsidRDefault="00446212" w:rsidP="00BA2CD5">
      <w:r w:rsidRPr="00C86C03">
        <w:lastRenderedPageBreak/>
        <w:t xml:space="preserve">Ker ne želimo, da aktivnosti po koncu trajanja projekta zamrejo, bomo zgradili tudi </w:t>
      </w:r>
      <w:r w:rsidRPr="00E13CC8">
        <w:rPr>
          <w:b/>
          <w:bCs/>
        </w:rPr>
        <w:t>mrežo podjetnih šol</w:t>
      </w:r>
      <w:r w:rsidRPr="00C86C03">
        <w:t>, kjer si bodo mentorji in ravnatelji lahko delili izkušnje in gradivo za kreativno poučevanje. Ustvarili bomo tudi priročnik za mentorje, ki ga bodo lahko uporabljali pri pripravi in izvedbi aktivnosti za razvijanje kompetence podjetnosti.</w:t>
      </w:r>
    </w:p>
    <w:p w14:paraId="7DA42E3C" w14:textId="1E8EB8DF" w:rsidR="00BD5DE3" w:rsidRDefault="00BD5DE3" w:rsidP="00BA2CD5"/>
    <w:p w14:paraId="688911E0" w14:textId="48AE6CDA" w:rsidR="00446212" w:rsidRDefault="00446212" w:rsidP="00BA2CD5"/>
    <w:p w14:paraId="25B11734" w14:textId="6A03E0FA" w:rsidR="00C254DC" w:rsidRDefault="001A3A95" w:rsidP="00C254DC">
      <w:pPr>
        <w:pStyle w:val="Naslov2"/>
      </w:pPr>
      <w:r>
        <w:t xml:space="preserve">KRATKO </w:t>
      </w:r>
      <w:r w:rsidR="00C254DC" w:rsidRPr="00880594">
        <w:t>O PROJEKTU PoMP</w:t>
      </w:r>
      <w:r w:rsidR="00C254DC">
        <w:t xml:space="preserve"> – Podpora mladim v podjetništvu</w:t>
      </w:r>
    </w:p>
    <w:p w14:paraId="15D3F2D8" w14:textId="77777777" w:rsidR="00C254DC" w:rsidRDefault="00C254DC" w:rsidP="00C254DC"/>
    <w:p w14:paraId="7F1810D9" w14:textId="77777777" w:rsidR="00C254DC" w:rsidRDefault="00C254DC" w:rsidP="00C254DC"/>
    <w:tbl>
      <w:tblPr>
        <w:tblStyle w:val="Tabelamrea"/>
        <w:tblW w:w="0" w:type="auto"/>
        <w:tblLook w:val="04A0" w:firstRow="1" w:lastRow="0" w:firstColumn="1" w:lastColumn="0" w:noHBand="0" w:noVBand="1"/>
      </w:tblPr>
      <w:tblGrid>
        <w:gridCol w:w="2547"/>
        <w:gridCol w:w="7647"/>
      </w:tblGrid>
      <w:tr w:rsidR="00C254DC" w14:paraId="271E7FC5" w14:textId="77777777" w:rsidTr="00BF2F71">
        <w:tc>
          <w:tcPr>
            <w:tcW w:w="2547" w:type="dxa"/>
          </w:tcPr>
          <w:p w14:paraId="594B4081" w14:textId="77777777" w:rsidR="00C254DC" w:rsidRDefault="00C254DC" w:rsidP="00BF2F71">
            <w:r>
              <w:t>Naslov projekta:</w:t>
            </w:r>
          </w:p>
        </w:tc>
        <w:tc>
          <w:tcPr>
            <w:tcW w:w="7647" w:type="dxa"/>
          </w:tcPr>
          <w:p w14:paraId="36F66F74" w14:textId="77777777" w:rsidR="00C254DC" w:rsidRDefault="00C254DC" w:rsidP="00BF2F71">
            <w:r>
              <w:t>Podpora mladim v podjetništvu</w:t>
            </w:r>
          </w:p>
        </w:tc>
      </w:tr>
      <w:tr w:rsidR="00C254DC" w14:paraId="78D78556" w14:textId="77777777" w:rsidTr="00BF2F71">
        <w:tc>
          <w:tcPr>
            <w:tcW w:w="2547" w:type="dxa"/>
          </w:tcPr>
          <w:p w14:paraId="58187F1C" w14:textId="77777777" w:rsidR="00C254DC" w:rsidRDefault="00C254DC" w:rsidP="00BF2F71">
            <w:r>
              <w:t>Akronim:</w:t>
            </w:r>
          </w:p>
        </w:tc>
        <w:tc>
          <w:tcPr>
            <w:tcW w:w="7647" w:type="dxa"/>
          </w:tcPr>
          <w:p w14:paraId="3ED12725" w14:textId="77777777" w:rsidR="00C254DC" w:rsidRDefault="00C254DC" w:rsidP="00BF2F71">
            <w:r>
              <w:t>PoMP</w:t>
            </w:r>
          </w:p>
        </w:tc>
      </w:tr>
      <w:tr w:rsidR="00C254DC" w14:paraId="04ED8F7B" w14:textId="77777777" w:rsidTr="00BF2F71">
        <w:tc>
          <w:tcPr>
            <w:tcW w:w="2547" w:type="dxa"/>
          </w:tcPr>
          <w:p w14:paraId="7F233EB5" w14:textId="77777777" w:rsidR="00C254DC" w:rsidRDefault="00C254DC" w:rsidP="00BF2F71">
            <w:r>
              <w:t>Trajanje:</w:t>
            </w:r>
          </w:p>
        </w:tc>
        <w:tc>
          <w:tcPr>
            <w:tcW w:w="7647" w:type="dxa"/>
          </w:tcPr>
          <w:p w14:paraId="0629995F" w14:textId="77777777" w:rsidR="00C254DC" w:rsidRDefault="00C254DC" w:rsidP="00BF2F71">
            <w:r>
              <w:t>1.6.2022-30.4.2024 (23 mesecev)</w:t>
            </w:r>
          </w:p>
        </w:tc>
      </w:tr>
      <w:tr w:rsidR="00C254DC" w14:paraId="44F958EE" w14:textId="77777777" w:rsidTr="00BF2F71">
        <w:tc>
          <w:tcPr>
            <w:tcW w:w="2547" w:type="dxa"/>
          </w:tcPr>
          <w:p w14:paraId="28A61D7A" w14:textId="77777777" w:rsidR="00C254DC" w:rsidRDefault="00C254DC" w:rsidP="00BF2F71">
            <w:r>
              <w:t>Vodilni partner:</w:t>
            </w:r>
          </w:p>
        </w:tc>
        <w:tc>
          <w:tcPr>
            <w:tcW w:w="7647" w:type="dxa"/>
          </w:tcPr>
          <w:p w14:paraId="07C5A937" w14:textId="77777777" w:rsidR="00C254DC" w:rsidRDefault="00C254DC" w:rsidP="00BF2F71">
            <w:r w:rsidRPr="00C86C03">
              <w:t>ZRS Bistra Ptuj</w:t>
            </w:r>
          </w:p>
        </w:tc>
      </w:tr>
      <w:tr w:rsidR="00C254DC" w14:paraId="1897AA78" w14:textId="77777777" w:rsidTr="00BF2F71">
        <w:tc>
          <w:tcPr>
            <w:tcW w:w="2547" w:type="dxa"/>
          </w:tcPr>
          <w:p w14:paraId="2CD573E9" w14:textId="77777777" w:rsidR="00C254DC" w:rsidRDefault="00C254DC" w:rsidP="00BF2F71">
            <w:r>
              <w:t>Partnerji:</w:t>
            </w:r>
          </w:p>
        </w:tc>
        <w:tc>
          <w:tcPr>
            <w:tcW w:w="7647" w:type="dxa"/>
          </w:tcPr>
          <w:p w14:paraId="13CC7622" w14:textId="77777777" w:rsidR="00C254DC" w:rsidRDefault="00C254DC" w:rsidP="00BF2F71">
            <w:r w:rsidRPr="00C86C03">
              <w:t>Primorski tehnološki park</w:t>
            </w:r>
            <w:r>
              <w:t>, Nova Gorica;</w:t>
            </w:r>
          </w:p>
          <w:p w14:paraId="25DCAA94" w14:textId="77777777" w:rsidR="00C254DC" w:rsidRDefault="00C254DC" w:rsidP="00BF2F71">
            <w:r w:rsidRPr="00C86C03">
              <w:t>Saša inkubator</w:t>
            </w:r>
            <w:r>
              <w:t>,</w:t>
            </w:r>
            <w:r w:rsidRPr="00C86C03">
              <w:t xml:space="preserve"> Velenje</w:t>
            </w:r>
            <w:r>
              <w:t>;</w:t>
            </w:r>
            <w:r w:rsidRPr="00C86C03">
              <w:t xml:space="preserve"> </w:t>
            </w:r>
          </w:p>
          <w:p w14:paraId="1D88BA66" w14:textId="77777777" w:rsidR="00C254DC" w:rsidRDefault="00C254DC" w:rsidP="00BF2F71">
            <w:r w:rsidRPr="00C86C03">
              <w:t>Tehnološki park L</w:t>
            </w:r>
            <w:r>
              <w:t>jubljana</w:t>
            </w:r>
            <w:r w:rsidRPr="00C86C03">
              <w:t xml:space="preserve"> in </w:t>
            </w:r>
          </w:p>
          <w:p w14:paraId="21638B3C" w14:textId="77777777" w:rsidR="00C254DC" w:rsidRDefault="00C254DC" w:rsidP="00BF2F71">
            <w:r w:rsidRPr="00C86C03">
              <w:t xml:space="preserve">Razvojni center </w:t>
            </w:r>
            <w:r>
              <w:t>Novo Mesto</w:t>
            </w:r>
          </w:p>
          <w:p w14:paraId="02E14EC6" w14:textId="77777777" w:rsidR="00C254DC" w:rsidRPr="00C2501A" w:rsidRDefault="00C254DC" w:rsidP="00BF2F71">
            <w:proofErr w:type="spellStart"/>
            <w:r w:rsidRPr="00C2501A">
              <w:t>Norges</w:t>
            </w:r>
            <w:proofErr w:type="spellEnd"/>
            <w:r w:rsidRPr="00C2501A">
              <w:t xml:space="preserve"> </w:t>
            </w:r>
            <w:proofErr w:type="spellStart"/>
            <w:r w:rsidRPr="00C2501A">
              <w:t>teknisk-naturvitenskapelige</w:t>
            </w:r>
            <w:proofErr w:type="spellEnd"/>
            <w:r w:rsidRPr="00C2501A">
              <w:t xml:space="preserve"> </w:t>
            </w:r>
            <w:proofErr w:type="spellStart"/>
            <w:r w:rsidRPr="00C2501A">
              <w:t>universitet</w:t>
            </w:r>
            <w:proofErr w:type="spellEnd"/>
            <w:r>
              <w:t xml:space="preserve">, </w:t>
            </w:r>
            <w:proofErr w:type="spellStart"/>
            <w:r>
              <w:t>Trondheim</w:t>
            </w:r>
            <w:proofErr w:type="spellEnd"/>
          </w:p>
        </w:tc>
      </w:tr>
      <w:tr w:rsidR="00C254DC" w14:paraId="55E2692A" w14:textId="77777777" w:rsidTr="00BF2F71">
        <w:tc>
          <w:tcPr>
            <w:tcW w:w="2547" w:type="dxa"/>
          </w:tcPr>
          <w:p w14:paraId="0D737B57" w14:textId="77777777" w:rsidR="00C254DC" w:rsidRDefault="00C254DC" w:rsidP="00BF2F71">
            <w:r>
              <w:t>Financiranje:</w:t>
            </w:r>
          </w:p>
        </w:tc>
        <w:tc>
          <w:tcPr>
            <w:tcW w:w="7647" w:type="dxa"/>
          </w:tcPr>
          <w:p w14:paraId="224F7680" w14:textId="77777777" w:rsidR="00C254DC" w:rsidRDefault="00C254DC" w:rsidP="00BF2F71">
            <w:r>
              <w:t>Norveški finančni mehanizem</w:t>
            </w:r>
          </w:p>
          <w:p w14:paraId="5D81C153" w14:textId="77777777" w:rsidR="00C254DC" w:rsidRDefault="00C254DC" w:rsidP="00BF2F71">
            <w:r>
              <w:t>Program Izobraževanje – Krepitev človeških virov</w:t>
            </w:r>
          </w:p>
        </w:tc>
      </w:tr>
      <w:tr w:rsidR="00EA70C7" w14:paraId="65BA1279" w14:textId="77777777" w:rsidTr="00BF2F71">
        <w:tc>
          <w:tcPr>
            <w:tcW w:w="2547" w:type="dxa"/>
          </w:tcPr>
          <w:p w14:paraId="061FB9D7" w14:textId="0CC257C3" w:rsidR="00EA70C7" w:rsidRDefault="00EA70C7" w:rsidP="00BF2F71">
            <w:r>
              <w:t>Vrednost projekta:</w:t>
            </w:r>
          </w:p>
        </w:tc>
        <w:tc>
          <w:tcPr>
            <w:tcW w:w="7647" w:type="dxa"/>
          </w:tcPr>
          <w:p w14:paraId="0A29193E" w14:textId="6D0BCDE1" w:rsidR="00EA70C7" w:rsidRDefault="00EA70C7" w:rsidP="00BF2F71">
            <w:r w:rsidRPr="00EA70C7">
              <w:t>497.374 €</w:t>
            </w:r>
          </w:p>
        </w:tc>
      </w:tr>
    </w:tbl>
    <w:p w14:paraId="69E94C31" w14:textId="77777777" w:rsidR="00C254DC" w:rsidRPr="0082531A" w:rsidRDefault="00C254DC" w:rsidP="00C254DC"/>
    <w:p w14:paraId="768ADF88" w14:textId="77777777" w:rsidR="00C254DC" w:rsidRPr="00C86C03" w:rsidRDefault="00C254DC" w:rsidP="00BA2CD5"/>
    <w:p w14:paraId="6D7FA3AD" w14:textId="77777777" w:rsidR="00446212" w:rsidRPr="00C86C03" w:rsidRDefault="00446212" w:rsidP="00BA2CD5">
      <w:r w:rsidRPr="00C86C03">
        <w:t xml:space="preserve">Spletna stran projekta: </w:t>
      </w:r>
      <w:hyperlink r:id="rId8" w:history="1">
        <w:r w:rsidRPr="00C86C03">
          <w:rPr>
            <w:rStyle w:val="Hiperpovezava"/>
          </w:rPr>
          <w:t>https://pomp-ng.si/</w:t>
        </w:r>
      </w:hyperlink>
    </w:p>
    <w:p w14:paraId="54B713DD" w14:textId="77777777" w:rsidR="00446212" w:rsidRPr="00C86C03" w:rsidRDefault="00446212" w:rsidP="00BA2CD5"/>
    <w:p w14:paraId="0E81F468" w14:textId="741C88C1" w:rsidR="00446212" w:rsidRDefault="00446212" w:rsidP="00BA2CD5"/>
    <w:p w14:paraId="05B74376" w14:textId="132D23C4" w:rsidR="00E56411" w:rsidRDefault="00E56411" w:rsidP="00E56411">
      <w:pPr>
        <w:pStyle w:val="Naslov2"/>
      </w:pPr>
      <w:r>
        <w:t>PARTNERJI projekta PoMP</w:t>
      </w:r>
    </w:p>
    <w:p w14:paraId="3D973BD0" w14:textId="77777777" w:rsidR="00E56411" w:rsidRDefault="00E56411" w:rsidP="00BA2CD5"/>
    <w:p w14:paraId="2143229B" w14:textId="37C9B05C" w:rsidR="00E56411" w:rsidRDefault="00E56411" w:rsidP="00E56411">
      <w:r>
        <w:t>Partnerji projekta PoMP imajo dolgoletne izkušnje spodbujanja podjetnosti med mladimi, skozi leta delovanja so spoznali pomen spodbujanja kompetenc podjetnosti med mladimi že med njihovim zgodnjim izobraževanjem (osnovna šola, srednja šola) ter pomen, ki ga imajo pri tem učitelji/mentorji, ki mlade dnevno spremljajo.</w:t>
      </w:r>
    </w:p>
    <w:p w14:paraId="4F7F8B78" w14:textId="6B165076" w:rsidR="00005FA0" w:rsidRDefault="00005FA0" w:rsidP="00E56411"/>
    <w:p w14:paraId="471E061C" w14:textId="4F36A568" w:rsidR="005C4323" w:rsidRDefault="005C4323" w:rsidP="005C4323">
      <w:pPr>
        <w:rPr>
          <w:sz w:val="22"/>
          <w:szCs w:val="22"/>
        </w:rPr>
      </w:pPr>
      <w:r>
        <w:t xml:space="preserve">Kontaktni podatki </w:t>
      </w:r>
      <w:r w:rsidR="00E61615">
        <w:t xml:space="preserve">slovenskih </w:t>
      </w:r>
      <w:r>
        <w:t>partnerjev:</w:t>
      </w:r>
    </w:p>
    <w:tbl>
      <w:tblPr>
        <w:tblW w:w="10198" w:type="dxa"/>
        <w:tblCellMar>
          <w:left w:w="0" w:type="dxa"/>
          <w:right w:w="0" w:type="dxa"/>
        </w:tblCellMar>
        <w:tblLook w:val="04A0" w:firstRow="1" w:lastRow="0" w:firstColumn="1" w:lastColumn="0" w:noHBand="0" w:noVBand="1"/>
      </w:tblPr>
      <w:tblGrid>
        <w:gridCol w:w="2686"/>
        <w:gridCol w:w="1842"/>
        <w:gridCol w:w="2552"/>
        <w:gridCol w:w="1701"/>
        <w:gridCol w:w="1417"/>
      </w:tblGrid>
      <w:tr w:rsidR="00D231A6" w14:paraId="6046098A" w14:textId="77777777" w:rsidTr="00D231A6">
        <w:trPr>
          <w:trHeight w:val="285"/>
        </w:trPr>
        <w:tc>
          <w:tcPr>
            <w:tcW w:w="26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1BCCE0" w14:textId="77777777" w:rsidR="00D231A6" w:rsidRDefault="00D231A6">
            <w:pPr>
              <w:rPr>
                <w:rFonts w:eastAsia="Times New Roman"/>
                <w:b/>
                <w:bCs/>
                <w:lang w:eastAsia="sl-SI"/>
              </w:rPr>
            </w:pPr>
            <w:r>
              <w:rPr>
                <w:b/>
                <w:bCs/>
              </w:rPr>
              <w:t>Partner</w:t>
            </w:r>
          </w:p>
        </w:tc>
        <w:tc>
          <w:tcPr>
            <w:tcW w:w="18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8F94ED" w14:textId="59E82448" w:rsidR="00D231A6" w:rsidRDefault="00D231A6">
            <w:pPr>
              <w:rPr>
                <w:b/>
                <w:bCs/>
              </w:rPr>
            </w:pPr>
            <w:r>
              <w:rPr>
                <w:b/>
                <w:bCs/>
              </w:rPr>
              <w:t>Kontaktna oseba</w:t>
            </w:r>
          </w:p>
        </w:tc>
        <w:tc>
          <w:tcPr>
            <w:tcW w:w="255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BDC3CA" w14:textId="77777777" w:rsidR="00D231A6" w:rsidRDefault="00D231A6">
            <w:pPr>
              <w:rPr>
                <w:b/>
                <w:bCs/>
              </w:rPr>
            </w:pPr>
            <w:r>
              <w:rPr>
                <w:b/>
                <w:bCs/>
              </w:rPr>
              <w:t>e-naslov</w:t>
            </w:r>
          </w:p>
        </w:tc>
        <w:tc>
          <w:tcPr>
            <w:tcW w:w="170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0D0090" w14:textId="77777777" w:rsidR="00D231A6" w:rsidRDefault="00D231A6">
            <w:pPr>
              <w:rPr>
                <w:b/>
                <w:bCs/>
              </w:rPr>
            </w:pPr>
            <w:r>
              <w:rPr>
                <w:b/>
                <w:bCs/>
              </w:rPr>
              <w:t>telefon v pisarni</w:t>
            </w:r>
          </w:p>
        </w:tc>
        <w:tc>
          <w:tcPr>
            <w:tcW w:w="14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DB6888" w14:textId="77777777" w:rsidR="00D231A6" w:rsidRDefault="00D231A6">
            <w:pPr>
              <w:rPr>
                <w:b/>
                <w:bCs/>
              </w:rPr>
            </w:pPr>
            <w:r>
              <w:rPr>
                <w:b/>
                <w:bCs/>
              </w:rPr>
              <w:t xml:space="preserve">mobilni telefon </w:t>
            </w:r>
          </w:p>
        </w:tc>
      </w:tr>
      <w:tr w:rsidR="00D231A6" w14:paraId="3C40D327" w14:textId="77777777" w:rsidTr="00D231A6">
        <w:trPr>
          <w:trHeight w:val="285"/>
        </w:trPr>
        <w:tc>
          <w:tcPr>
            <w:tcW w:w="26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E8CEB1" w14:textId="77777777" w:rsidR="00D231A6" w:rsidRDefault="00D231A6">
            <w:r>
              <w:t>ZRS Bistra Ptuj</w:t>
            </w:r>
          </w:p>
        </w:tc>
        <w:tc>
          <w:tcPr>
            <w:tcW w:w="18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4E5B27" w14:textId="4E9E6756" w:rsidR="00D231A6" w:rsidRDefault="006E7EDC">
            <w:r>
              <w:t xml:space="preserve">Dr. </w:t>
            </w:r>
            <w:r w:rsidR="00D231A6">
              <w:t>Lidija Tušek</w:t>
            </w:r>
          </w:p>
        </w:tc>
        <w:tc>
          <w:tcPr>
            <w:tcW w:w="255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F4D914" w14:textId="77777777" w:rsidR="00D231A6" w:rsidRDefault="00000000">
            <w:hyperlink r:id="rId9" w:tgtFrame="_blank" w:history="1">
              <w:r w:rsidR="00D231A6">
                <w:rPr>
                  <w:rStyle w:val="Hiperpovezava"/>
                </w:rPr>
                <w:t>lidija.tusek@bistra.si</w:t>
              </w:r>
            </w:hyperlink>
          </w:p>
        </w:tc>
        <w:tc>
          <w:tcPr>
            <w:tcW w:w="170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38783B" w14:textId="77777777" w:rsidR="00D231A6" w:rsidRDefault="00D231A6">
            <w:r>
              <w:t>02 7480 259</w:t>
            </w:r>
          </w:p>
        </w:tc>
        <w:tc>
          <w:tcPr>
            <w:tcW w:w="14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695078" w14:textId="77777777" w:rsidR="00D231A6" w:rsidRDefault="00D231A6">
            <w:r>
              <w:t>031 70 93 70</w:t>
            </w:r>
          </w:p>
        </w:tc>
      </w:tr>
      <w:tr w:rsidR="00D231A6" w14:paraId="459F6F59" w14:textId="77777777" w:rsidTr="00D231A6">
        <w:trPr>
          <w:trHeight w:val="285"/>
        </w:trPr>
        <w:tc>
          <w:tcPr>
            <w:tcW w:w="26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F1448E" w14:textId="77777777" w:rsidR="00D231A6" w:rsidRDefault="00D231A6">
            <w:r>
              <w:t>SAŠA inkubator; Velenje</w:t>
            </w:r>
          </w:p>
        </w:tc>
        <w:tc>
          <w:tcPr>
            <w:tcW w:w="18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DFB6B4" w14:textId="252DCCAB" w:rsidR="00D231A6" w:rsidRDefault="00D231A6">
            <w:r>
              <w:t>Jan Skok</w:t>
            </w:r>
          </w:p>
        </w:tc>
        <w:tc>
          <w:tcPr>
            <w:tcW w:w="255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B20148" w14:textId="77777777" w:rsidR="00D231A6" w:rsidRDefault="00000000">
            <w:hyperlink r:id="rId10" w:history="1">
              <w:r w:rsidR="00D231A6">
                <w:rPr>
                  <w:rStyle w:val="Hiperpovezava"/>
                </w:rPr>
                <w:t>jan.skok@sasainkubator.si</w:t>
              </w:r>
            </w:hyperlink>
          </w:p>
        </w:tc>
        <w:tc>
          <w:tcPr>
            <w:tcW w:w="170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E81B98" w14:textId="77777777" w:rsidR="00D231A6" w:rsidRDefault="00D231A6">
            <w:r>
              <w:t>03 7777 101</w:t>
            </w:r>
          </w:p>
        </w:tc>
        <w:tc>
          <w:tcPr>
            <w:tcW w:w="14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777A66" w14:textId="77777777" w:rsidR="00D231A6" w:rsidRDefault="00D231A6">
            <w:r>
              <w:t>031 763 102</w:t>
            </w:r>
          </w:p>
        </w:tc>
      </w:tr>
      <w:tr w:rsidR="00D231A6" w14:paraId="320F72E2" w14:textId="77777777" w:rsidTr="00D231A6">
        <w:trPr>
          <w:trHeight w:val="285"/>
        </w:trPr>
        <w:tc>
          <w:tcPr>
            <w:tcW w:w="26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7F9070" w14:textId="77777777" w:rsidR="00D231A6" w:rsidRDefault="00D231A6">
            <w:r>
              <w:t>RC Novo mesto</w:t>
            </w:r>
          </w:p>
        </w:tc>
        <w:tc>
          <w:tcPr>
            <w:tcW w:w="18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D4C9C5" w14:textId="5EF9BF98" w:rsidR="00D231A6" w:rsidRDefault="00D231A6">
            <w:r>
              <w:t>Janez Gorenc</w:t>
            </w:r>
          </w:p>
        </w:tc>
        <w:tc>
          <w:tcPr>
            <w:tcW w:w="255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2C9F5A" w14:textId="77777777" w:rsidR="00D231A6" w:rsidRDefault="00000000">
            <w:hyperlink r:id="rId11" w:history="1">
              <w:r w:rsidR="00D231A6">
                <w:rPr>
                  <w:rStyle w:val="Hiperpovezava"/>
                </w:rPr>
                <w:t>janez.gorenc@rc-nm.si</w:t>
              </w:r>
            </w:hyperlink>
          </w:p>
        </w:tc>
        <w:tc>
          <w:tcPr>
            <w:tcW w:w="170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EA01EF" w14:textId="77777777" w:rsidR="00D231A6" w:rsidRDefault="00D231A6">
            <w:r>
              <w:t>07 33 72 980</w:t>
            </w:r>
          </w:p>
        </w:tc>
        <w:tc>
          <w:tcPr>
            <w:tcW w:w="14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58F72E" w14:textId="77777777" w:rsidR="00D231A6" w:rsidRDefault="00D231A6">
            <w:r>
              <w:t>040 300 253</w:t>
            </w:r>
          </w:p>
        </w:tc>
      </w:tr>
      <w:tr w:rsidR="00D231A6" w14:paraId="7EC48AD0" w14:textId="77777777" w:rsidTr="00D231A6">
        <w:trPr>
          <w:trHeight w:val="285"/>
        </w:trPr>
        <w:tc>
          <w:tcPr>
            <w:tcW w:w="26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B71368" w14:textId="77777777" w:rsidR="00D231A6" w:rsidRDefault="00D231A6">
            <w:r>
              <w:t>Tehnološki park Ljubljana</w:t>
            </w:r>
          </w:p>
        </w:tc>
        <w:tc>
          <w:tcPr>
            <w:tcW w:w="18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704550" w14:textId="14291D23" w:rsidR="00D231A6" w:rsidRDefault="00D231A6">
            <w:r>
              <w:t>Milan Lazarević</w:t>
            </w:r>
          </w:p>
        </w:tc>
        <w:tc>
          <w:tcPr>
            <w:tcW w:w="255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1365F9" w14:textId="77777777" w:rsidR="00D231A6" w:rsidRDefault="00000000">
            <w:hyperlink r:id="rId12" w:history="1">
              <w:r w:rsidR="00D231A6">
                <w:rPr>
                  <w:rStyle w:val="Hiperpovezava"/>
                </w:rPr>
                <w:t>milan.lazarevic@tp-lj.si</w:t>
              </w:r>
            </w:hyperlink>
          </w:p>
        </w:tc>
        <w:tc>
          <w:tcPr>
            <w:tcW w:w="170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3BC5DE" w14:textId="77777777" w:rsidR="00D231A6" w:rsidRDefault="00D231A6">
            <w:r>
              <w:t>/</w:t>
            </w:r>
          </w:p>
        </w:tc>
        <w:tc>
          <w:tcPr>
            <w:tcW w:w="14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22A944" w14:textId="77777777" w:rsidR="00D231A6" w:rsidRDefault="00D231A6">
            <w:r>
              <w:t>030 440 677</w:t>
            </w:r>
          </w:p>
        </w:tc>
      </w:tr>
      <w:tr w:rsidR="00D231A6" w14:paraId="20560886" w14:textId="77777777" w:rsidTr="00D231A6">
        <w:trPr>
          <w:trHeight w:val="285"/>
        </w:trPr>
        <w:tc>
          <w:tcPr>
            <w:tcW w:w="26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0E4A18" w14:textId="77777777" w:rsidR="00D231A6" w:rsidRDefault="00D231A6">
            <w:r>
              <w:t>Primorski tehnološki park; Nova Gorica</w:t>
            </w:r>
          </w:p>
        </w:tc>
        <w:tc>
          <w:tcPr>
            <w:tcW w:w="18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3D505D" w14:textId="1F46C655" w:rsidR="00D231A6" w:rsidRDefault="00D231A6">
            <w:r>
              <w:t>Katja Pregelj</w:t>
            </w:r>
          </w:p>
        </w:tc>
        <w:tc>
          <w:tcPr>
            <w:tcW w:w="255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B35A46" w14:textId="77777777" w:rsidR="00D231A6" w:rsidRDefault="00000000">
            <w:hyperlink r:id="rId13" w:history="1">
              <w:r w:rsidR="00D231A6">
                <w:rPr>
                  <w:rStyle w:val="Hiperpovezava"/>
                </w:rPr>
                <w:t>katja.pregelj@primorski-tp.si</w:t>
              </w:r>
            </w:hyperlink>
            <w:r w:rsidR="00D231A6">
              <w:t xml:space="preserve"> </w:t>
            </w:r>
          </w:p>
        </w:tc>
        <w:tc>
          <w:tcPr>
            <w:tcW w:w="170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9B0F1E" w14:textId="77777777" w:rsidR="00D231A6" w:rsidRDefault="00D231A6">
            <w:r>
              <w:t xml:space="preserve">05 393 24 59 </w:t>
            </w:r>
          </w:p>
        </w:tc>
        <w:tc>
          <w:tcPr>
            <w:tcW w:w="14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9FA3A6" w14:textId="77777777" w:rsidR="00D231A6" w:rsidRDefault="00D231A6">
            <w:r>
              <w:t xml:space="preserve">040 701 357 </w:t>
            </w:r>
          </w:p>
        </w:tc>
      </w:tr>
    </w:tbl>
    <w:p w14:paraId="1F91C1D7" w14:textId="77777777" w:rsidR="005C4323" w:rsidRDefault="005C4323" w:rsidP="005C4323">
      <w:pPr>
        <w:rPr>
          <w:sz w:val="22"/>
          <w:szCs w:val="22"/>
        </w:rPr>
      </w:pPr>
    </w:p>
    <w:p w14:paraId="5B57B79C" w14:textId="77777777" w:rsidR="00E56411" w:rsidRPr="00803CE9" w:rsidRDefault="00E56411" w:rsidP="00E56411">
      <w:pPr>
        <w:rPr>
          <w:b/>
          <w:bCs/>
        </w:rPr>
      </w:pPr>
      <w:r w:rsidRPr="00803CE9">
        <w:rPr>
          <w:b/>
          <w:bCs/>
        </w:rPr>
        <w:t>Znanstveno-raziskovalno središče Bistra Ptuj</w:t>
      </w:r>
      <w:r>
        <w:rPr>
          <w:b/>
          <w:bCs/>
        </w:rPr>
        <w:t xml:space="preserve"> (</w:t>
      </w:r>
      <w:r w:rsidRPr="00496899">
        <w:rPr>
          <w:b/>
          <w:bCs/>
        </w:rPr>
        <w:t>ZRS Bistra Ptuj</w:t>
      </w:r>
      <w:r>
        <w:rPr>
          <w:b/>
          <w:bCs/>
        </w:rPr>
        <w:t xml:space="preserve">), </w:t>
      </w:r>
      <w:r w:rsidRPr="00803CE9">
        <w:rPr>
          <w:b/>
          <w:bCs/>
        </w:rPr>
        <w:t>vodilni partner</w:t>
      </w:r>
    </w:p>
    <w:p w14:paraId="746FC02C" w14:textId="4DC21A1B" w:rsidR="00977317" w:rsidRDefault="00977317" w:rsidP="00977317">
      <w:r>
        <w:t xml:space="preserve">ZRS Bistra Ptuj deluje kot regionalna razvojna agencija, pa tudi kot raziskovalno središče in je močno vpeta v EU projekte. Med glavne dejavnosti sodijo: spodbujanje vseobsegajočega in lokalno usmerjenega trajnostnega razvoja </w:t>
      </w:r>
      <w:proofErr w:type="spellStart"/>
      <w:r>
        <w:t>podregije</w:t>
      </w:r>
      <w:proofErr w:type="spellEnd"/>
      <w:r>
        <w:t>, ki jo sestavlja 16 občin Spodnjega Podravja, vzpostavljanje in vzdrževanje povezav med podjetji, raziskovalnimi institucijami in oblastmi, prenos znanja, ustvarjanje in razširjanje znanj ter kompetenc tako v podjetjih kot tudi v šolah, ustvarjanje priložnosti za višje izobražene kadre v regiji.</w:t>
      </w:r>
    </w:p>
    <w:p w14:paraId="2A705194" w14:textId="77777777" w:rsidR="00977317" w:rsidRDefault="00977317" w:rsidP="00977317"/>
    <w:p w14:paraId="7E2C48D3" w14:textId="382B8255" w:rsidR="00977317" w:rsidRDefault="00977317" w:rsidP="00977317">
      <w:r>
        <w:t xml:space="preserve">Posebna ciljna skupina so tudi šole in druge izobraževalne organizacije, s katerimi se povezujemo preko različnih projektov. Poseben fokus namenjamo ozaveščanju mladih/šolarjev o podjetništvu, skupaj iščemo poslovne ideje in jih razvijamo v poslovne modele. Skupaj z njihovimi učitelji izvajamo delavnice, predavanja, okrogle mize in </w:t>
      </w:r>
      <w:proofErr w:type="spellStart"/>
      <w:r>
        <w:t>startup</w:t>
      </w:r>
      <w:proofErr w:type="spellEnd"/>
      <w:r>
        <w:t xml:space="preserve"> vikende. Že vrsto let organiziramo </w:t>
      </w:r>
      <w:r>
        <w:lastRenderedPageBreak/>
        <w:t>lokalna podjetniška tekmovanja in jih usmerjamo v prijavo na nacionalna in mednarodna tekmovanja. Organiziramo tudi regijska tekmovanja za mlade raziskovalce.</w:t>
      </w:r>
    </w:p>
    <w:p w14:paraId="7833D642" w14:textId="77777777" w:rsidR="00977317" w:rsidRDefault="00977317" w:rsidP="00977317"/>
    <w:p w14:paraId="293DE141" w14:textId="77777777" w:rsidR="00977317" w:rsidRDefault="00977317" w:rsidP="00977317">
      <w:r>
        <w:t>Na področju spodbujanja podjetništva nudi podporo podjetnikom in poskuša vplivati na sistemske okvire. Na VEM točki lahko podjetniki ustanovijo podjetje brez plačila storitve, podjetnikom pa nudi celostno podporo; od snovanja poslovne ideje do razvoja in rasti.</w:t>
      </w:r>
    </w:p>
    <w:p w14:paraId="75DE59DA" w14:textId="77777777" w:rsidR="00977317" w:rsidRDefault="00977317" w:rsidP="00977317"/>
    <w:p w14:paraId="205E80BF" w14:textId="69F4F816" w:rsidR="00E56411" w:rsidRDefault="00000000" w:rsidP="00977317">
      <w:hyperlink r:id="rId14" w:history="1">
        <w:r w:rsidR="00E56411" w:rsidRPr="007235D2">
          <w:rPr>
            <w:rStyle w:val="Hiperpovezava"/>
          </w:rPr>
          <w:t>www.bistra.si</w:t>
        </w:r>
      </w:hyperlink>
    </w:p>
    <w:p w14:paraId="647DF0FB" w14:textId="77777777" w:rsidR="00E56411" w:rsidRDefault="00E56411" w:rsidP="00E56411"/>
    <w:p w14:paraId="4E92C5F8" w14:textId="5F35FBBD" w:rsidR="00E56411" w:rsidRPr="00803CE9" w:rsidRDefault="00E56411" w:rsidP="00E56411">
      <w:pPr>
        <w:rPr>
          <w:b/>
          <w:bCs/>
        </w:rPr>
      </w:pPr>
      <w:r w:rsidRPr="00803CE9">
        <w:rPr>
          <w:b/>
          <w:bCs/>
        </w:rPr>
        <w:t>Primorski tehnološki park d.o.o.</w:t>
      </w:r>
      <w:r w:rsidR="00247B7E">
        <w:rPr>
          <w:b/>
          <w:bCs/>
        </w:rPr>
        <w:t xml:space="preserve"> (PTP)</w:t>
      </w:r>
      <w:r>
        <w:rPr>
          <w:b/>
          <w:bCs/>
        </w:rPr>
        <w:t xml:space="preserve">, </w:t>
      </w:r>
      <w:r w:rsidRPr="00803CE9">
        <w:rPr>
          <w:b/>
          <w:bCs/>
        </w:rPr>
        <w:t>partner</w:t>
      </w:r>
    </w:p>
    <w:p w14:paraId="6FC18D70" w14:textId="77777777" w:rsidR="00E56411" w:rsidRDefault="00E56411" w:rsidP="00E56411">
      <w:r w:rsidRPr="00D662C0">
        <w:t>PTP je podporna institucija za razvoj podjetništva, podjetnosti, inovacij in ustvarjalnosti. Je nosilec najsodobnejših podjetniških metodologij, predstavlja vez med podjetniki, investitorji, mentorji, svetovalci, raziskovalci in ostalimi strokovnjaki ter ustvarja optimalne pogoje za zagon, rast in razvoj podjetij. Kali mlada podjetja, ki jih spremlja od prvih korakov do velikih uspehov. Verjame v novo generacijo, ki bo ustvarjala podjetniški ekosistem domačega prostora. Vlaga v razvoj znanja mladih talentov (potencialnih podjetnikov) in mladih podjetij. Ponuja programe za mlada podjetja, ki si želijo večjih uspehov kot programe za tiste, ki njihove podjetniške ideje in kompetence podjetnosti šele razvijajo. Uspešno sodeluje s številnimi gospodarskimi, izobraževalnimi, raziskovalnimi in drugimi partnerji. Osnovna vloga PTP, ki deluje kot podjetniški inkubator, je podjetnikom in potencialnim podjetnikom nuditi podporo pri preverjanju tržnih priložnosti, razvoju podjetniških idej in poslovnim modelov, zagonu in rasti podjetja ter vstopu na (mednarodni) trg.</w:t>
      </w:r>
    </w:p>
    <w:p w14:paraId="6F5BF36D" w14:textId="77777777" w:rsidR="00E56411" w:rsidRDefault="00000000" w:rsidP="00E56411">
      <w:hyperlink r:id="rId15" w:history="1">
        <w:r w:rsidR="00E56411" w:rsidRPr="007235D2">
          <w:rPr>
            <w:rStyle w:val="Hiperpovezava"/>
          </w:rPr>
          <w:t>www.primorski-tp.si/</w:t>
        </w:r>
      </w:hyperlink>
      <w:r w:rsidR="00E56411">
        <w:t xml:space="preserve"> </w:t>
      </w:r>
    </w:p>
    <w:p w14:paraId="3596929C" w14:textId="77777777" w:rsidR="00E56411" w:rsidRDefault="00E56411" w:rsidP="00E56411"/>
    <w:p w14:paraId="6C8347CE" w14:textId="77777777" w:rsidR="00E56411" w:rsidRPr="00803CE9" w:rsidRDefault="00E56411" w:rsidP="00E56411">
      <w:pPr>
        <w:rPr>
          <w:b/>
          <w:bCs/>
        </w:rPr>
      </w:pPr>
      <w:r w:rsidRPr="00803CE9">
        <w:rPr>
          <w:b/>
          <w:bCs/>
        </w:rPr>
        <w:t>Razvojni center Novo mesto d.o.o.</w:t>
      </w:r>
      <w:r>
        <w:rPr>
          <w:b/>
          <w:bCs/>
        </w:rPr>
        <w:t xml:space="preserve"> (RCNM), partner</w:t>
      </w:r>
    </w:p>
    <w:p w14:paraId="0366A193" w14:textId="350757D4" w:rsidR="00E56411" w:rsidRDefault="00E56411" w:rsidP="00E56411">
      <w:r>
        <w:t xml:space="preserve">Imamo več kot 20 letne izkušnje na področju razvijanja in rasti podjetnikov in njihovih produktov skozi različne inovacijske in podjetniške programe. Ključni referenčni projekti so vzpostavitev in vsebinsko upravljanje Podjetniškega inkubatorja </w:t>
      </w:r>
      <w:proofErr w:type="spellStart"/>
      <w:r>
        <w:t>Podbreznik</w:t>
      </w:r>
      <w:proofErr w:type="spellEnd"/>
      <w:r>
        <w:t xml:space="preserve">, točke VEM oz. SPOT, izvajanje projekta PVSP v letih 2013-2015, izvajanje finančnih shem (Regijska garancijska shema in Regijska štipendijska shema), izvajanje projekta SIO PIP 2016-17 ter projekta SIO PIP 2018/2019, spodbujanje inovativnih dejavnosti, izobraževanje potencialnih podjetnikov ter podjetnikov, izvajanje podjetniških izzivov za mlade in vzpostavitev Centra razvoja, raziskav in inovacij. </w:t>
      </w:r>
    </w:p>
    <w:p w14:paraId="75C13581" w14:textId="77777777" w:rsidR="00247B7E" w:rsidRDefault="00247B7E" w:rsidP="00E56411"/>
    <w:p w14:paraId="13514212" w14:textId="102E9FBC" w:rsidR="00E56411" w:rsidRDefault="00E56411" w:rsidP="00E56411">
      <w:r>
        <w:t xml:space="preserve">V okviru podjetništva tako izvajamo podjetniška svetovanja, mentorstva in izobraževanja za podjetnike začetnike kakor tudi že uveljavljena podjetja. Ponujamo ustrezne prostore za zagon </w:t>
      </w:r>
      <w:proofErr w:type="spellStart"/>
      <w:r>
        <w:t>startup</w:t>
      </w:r>
      <w:proofErr w:type="spellEnd"/>
      <w:r>
        <w:t xml:space="preserve">-ov in mladih podjetij, </w:t>
      </w:r>
      <w:proofErr w:type="spellStart"/>
      <w:r>
        <w:t>coworking</w:t>
      </w:r>
      <w:proofErr w:type="spellEnd"/>
      <w:r>
        <w:t xml:space="preserve"> ter najem sejnih dvoran.</w:t>
      </w:r>
    </w:p>
    <w:p w14:paraId="67B2AB2A" w14:textId="77777777" w:rsidR="00247B7E" w:rsidRDefault="00247B7E" w:rsidP="00E56411"/>
    <w:p w14:paraId="2F6072D3" w14:textId="77777777" w:rsidR="00E56411" w:rsidRDefault="00E56411" w:rsidP="00E56411">
      <w:r>
        <w:t>V okviru projektne pisarne skrbimo za razvoj in uspešno realizacijo projektov. Podporo projektom nudimo na regionalnem, čezmejnem in mednarodnem nivoju.</w:t>
      </w:r>
    </w:p>
    <w:p w14:paraId="2221CAAB" w14:textId="4C5D491E" w:rsidR="00E56411" w:rsidRDefault="00000000" w:rsidP="00E56411">
      <w:hyperlink r:id="rId16" w:history="1">
        <w:r w:rsidR="00E56411" w:rsidRPr="007235D2">
          <w:rPr>
            <w:rStyle w:val="Hiperpovezava"/>
          </w:rPr>
          <w:t>www.rc-nm.si</w:t>
        </w:r>
      </w:hyperlink>
      <w:r w:rsidR="00E56411">
        <w:t xml:space="preserve"> </w:t>
      </w:r>
    </w:p>
    <w:p w14:paraId="31CADC17" w14:textId="77777777" w:rsidR="00247B7E" w:rsidRDefault="00247B7E" w:rsidP="00E56411"/>
    <w:p w14:paraId="0568B693" w14:textId="77777777" w:rsidR="00E56411" w:rsidRPr="00803CE9" w:rsidRDefault="00E56411" w:rsidP="00E56411">
      <w:pPr>
        <w:rPr>
          <w:b/>
          <w:bCs/>
        </w:rPr>
      </w:pPr>
      <w:r w:rsidRPr="00803CE9">
        <w:rPr>
          <w:b/>
          <w:bCs/>
        </w:rPr>
        <w:t>Tehnološki park Ljubljana d.o.o.</w:t>
      </w:r>
      <w:r>
        <w:rPr>
          <w:b/>
          <w:bCs/>
        </w:rPr>
        <w:t xml:space="preserve"> (TP LJ), partner</w:t>
      </w:r>
    </w:p>
    <w:p w14:paraId="1D30DE93" w14:textId="77777777" w:rsidR="00E56411" w:rsidRDefault="00E56411" w:rsidP="00E56411">
      <w:r w:rsidRPr="00803CE9">
        <w:t xml:space="preserve">Tehnološki park Ljubljana je vodilni nacionalni deležnik pri razvoju inovativnega in na znanju temelječega podjetništva v Sloveniji. Je podporno in stimulativno poslovno okolje za razvoj vrhunskega tehnološkega podjetništva. TP LJ pod svojim okriljem povezuje več kot 300 visokotehnoloških podjetij z več kot 1500 zaposlenimi. Poleg ugleda, referenčne infrastrukture ter kredibilnosti, TP LJ članom in drugim zainteresiranim start-up in scale-up podjetjem nudi celovito podjetniško podporo. Ta zajema preverjanje poslovnih/tehnoloških pobud, podporo pri razvoju poslovnih modelov, poslovno in tehnološko svetovanje ter mentorstvo, podporo pri navezovanju poslovnih in strateških partnerjev. TP LJ je tudi partner Iniciative </w:t>
      </w:r>
      <w:proofErr w:type="spellStart"/>
      <w:r w:rsidRPr="00803CE9">
        <w:t>Start:up</w:t>
      </w:r>
      <w:proofErr w:type="spellEnd"/>
      <w:r w:rsidRPr="00803CE9">
        <w:t xml:space="preserve"> Slovenija, ki izvaja nacionalne programe spodbujanja podjetništva in podjetnega udejstvovanja, namenjene podjetniškim ekipam v fazi snovanja podjetniške ideje, start-up podjetjem in podjetjem v hitri globalni rasti. V preteklosti je bil tudi partner nacionalnega programa SIO- subjekti inovativnega okolja, pri čemer je spodbujal nastanek novih podjetij, predvsem tistih, ki so pomembna za večjo konkurenčnost, višjo dodano vrednost in bolj uravnotežen regionalni razvoj podjetništva.</w:t>
      </w:r>
    </w:p>
    <w:p w14:paraId="76D77794" w14:textId="77777777" w:rsidR="00E56411" w:rsidRDefault="00000000" w:rsidP="00E56411">
      <w:hyperlink r:id="rId17" w:history="1">
        <w:r w:rsidR="00E56411" w:rsidRPr="007235D2">
          <w:rPr>
            <w:rStyle w:val="Hiperpovezava"/>
          </w:rPr>
          <w:t>www.tp-lj.si/sl</w:t>
        </w:r>
      </w:hyperlink>
    </w:p>
    <w:p w14:paraId="43136239" w14:textId="77777777" w:rsidR="00E56411" w:rsidRDefault="00E56411" w:rsidP="00E56411"/>
    <w:p w14:paraId="59AC0F7B" w14:textId="77777777" w:rsidR="00E56411" w:rsidRPr="00803CE9" w:rsidRDefault="00E56411" w:rsidP="00E56411">
      <w:pPr>
        <w:rPr>
          <w:b/>
          <w:bCs/>
        </w:rPr>
      </w:pPr>
      <w:r w:rsidRPr="00803CE9">
        <w:rPr>
          <w:b/>
          <w:bCs/>
        </w:rPr>
        <w:t>SAŠA inkubator d.o.o.</w:t>
      </w:r>
      <w:r>
        <w:rPr>
          <w:b/>
          <w:bCs/>
        </w:rPr>
        <w:t xml:space="preserve"> (SAŠA), partner</w:t>
      </w:r>
    </w:p>
    <w:p w14:paraId="38DAB54E" w14:textId="77777777" w:rsidR="00E56411" w:rsidRDefault="00E56411" w:rsidP="00E56411">
      <w:r>
        <w:t>SAŠA inkubator d. o. o. je regionalni podjetniški inkubator, ki pokriva območje Savinjsko-Šaleške regije.</w:t>
      </w:r>
    </w:p>
    <w:p w14:paraId="396A4016" w14:textId="77777777" w:rsidR="00E56411" w:rsidRDefault="00E56411" w:rsidP="00E56411">
      <w:r>
        <w:t xml:space="preserve">Inkubator dobro sodeluje z vsemi razvojnimi akterji v regiji: obstoječimi podjetij, izobraževalnimi ustanovami, razvojnimi agencijami in z MOV. Učenci lokalnega šolskega centra se redno udeležujejo dogodkov, ki jih v Inkubatorju organiziramo kot </w:t>
      </w:r>
      <w:proofErr w:type="spellStart"/>
      <w:r>
        <w:t>izvenšolske</w:t>
      </w:r>
      <w:proofErr w:type="spellEnd"/>
      <w:r>
        <w:t xml:space="preserve"> dejavnosti ali v sklopu obveznih izbirnih vsebin. </w:t>
      </w:r>
    </w:p>
    <w:p w14:paraId="3C296229" w14:textId="77777777" w:rsidR="00E56411" w:rsidRDefault="00E56411" w:rsidP="00E56411">
      <w:r>
        <w:t>Ključni programi SAŠA inkubatorja so:</w:t>
      </w:r>
    </w:p>
    <w:p w14:paraId="29F47D79" w14:textId="1834BC4F" w:rsidR="00E56411" w:rsidRDefault="00E56411" w:rsidP="00E56411">
      <w:r>
        <w:lastRenderedPageBreak/>
        <w:t xml:space="preserve">1. </w:t>
      </w:r>
      <w:proofErr w:type="spellStart"/>
      <w:r>
        <w:t>Startup</w:t>
      </w:r>
      <w:proofErr w:type="spellEnd"/>
      <w:r>
        <w:t xml:space="preserve"> vikendi in </w:t>
      </w:r>
      <w:proofErr w:type="spellStart"/>
      <w:r>
        <w:t>hackathoni</w:t>
      </w:r>
      <w:proofErr w:type="spellEnd"/>
      <w:r w:rsidR="00247B7E">
        <w:t xml:space="preserve"> z</w:t>
      </w:r>
      <w:r>
        <w:t xml:space="preserve"> namenom vzgajanja novih pogumnih in kreativnih generacij s sposobnostjo razmišljanja izven okvira in usmerjenih k rešitvam.</w:t>
      </w:r>
    </w:p>
    <w:p w14:paraId="3E6FEB83" w14:textId="730609E2" w:rsidR="00E56411" w:rsidRDefault="00E56411" w:rsidP="00E56411">
      <w:r>
        <w:t xml:space="preserve">2. Poslovna šola za zagonska podjetja - </w:t>
      </w:r>
      <w:proofErr w:type="spellStart"/>
      <w:r>
        <w:t>Startup</w:t>
      </w:r>
      <w:proofErr w:type="spellEnd"/>
      <w:r>
        <w:t xml:space="preserve"> Generator</w:t>
      </w:r>
      <w:r w:rsidR="00642E3B">
        <w:t xml:space="preserve">. </w:t>
      </w:r>
      <w:r>
        <w:t xml:space="preserve">Ustvarili smo poslovno šolo za </w:t>
      </w:r>
      <w:proofErr w:type="spellStart"/>
      <w:r>
        <w:t>startupe</w:t>
      </w:r>
      <w:proofErr w:type="spellEnd"/>
      <w:r>
        <w:t xml:space="preserve">, kjer spoznavajo vitke poslovne metode, CANVAS business model in druga področja, ki so pomembna za njihov uspeh. Ob koncu šesttedenskega programa najboljši </w:t>
      </w:r>
      <w:proofErr w:type="spellStart"/>
      <w:r>
        <w:t>startupi</w:t>
      </w:r>
      <w:proofErr w:type="spellEnd"/>
      <w:r>
        <w:t xml:space="preserve"> svojo rešitev predstavijo potencialnim vlagateljem. </w:t>
      </w:r>
    </w:p>
    <w:p w14:paraId="434B427A" w14:textId="53A35599" w:rsidR="00E56411" w:rsidRDefault="00E56411" w:rsidP="00E56411">
      <w:r>
        <w:t>3. Future 4.0 (future40.si)</w:t>
      </w:r>
      <w:r w:rsidR="00642E3B">
        <w:t xml:space="preserve">. </w:t>
      </w:r>
      <w:r>
        <w:t xml:space="preserve">Naš glavni cilj je neposredno povezati industrijske korporacije in </w:t>
      </w:r>
      <w:proofErr w:type="spellStart"/>
      <w:r>
        <w:t>startupe</w:t>
      </w:r>
      <w:proofErr w:type="spellEnd"/>
      <w:r>
        <w:t xml:space="preserve"> ki so ali bi lahko bili povezani z inovacijami za industrijo 4.0.</w:t>
      </w:r>
    </w:p>
    <w:p w14:paraId="394229A6" w14:textId="77777777" w:rsidR="00E56411" w:rsidRDefault="00000000" w:rsidP="00E56411">
      <w:hyperlink r:id="rId18" w:history="1">
        <w:r w:rsidR="00E56411" w:rsidRPr="007235D2">
          <w:rPr>
            <w:rStyle w:val="Hiperpovezava"/>
          </w:rPr>
          <w:t>https://sasainkubator.si/</w:t>
        </w:r>
      </w:hyperlink>
    </w:p>
    <w:p w14:paraId="3A448B4A" w14:textId="77777777" w:rsidR="00E56411" w:rsidRDefault="00E56411" w:rsidP="00E56411"/>
    <w:p w14:paraId="72A06262" w14:textId="77777777" w:rsidR="00E56411" w:rsidRPr="00496899" w:rsidRDefault="00E56411" w:rsidP="00E56411">
      <w:pPr>
        <w:rPr>
          <w:b/>
          <w:bCs/>
        </w:rPr>
      </w:pPr>
      <w:proofErr w:type="spellStart"/>
      <w:r w:rsidRPr="00496899">
        <w:rPr>
          <w:b/>
          <w:bCs/>
        </w:rPr>
        <w:t>Norges</w:t>
      </w:r>
      <w:proofErr w:type="spellEnd"/>
      <w:r w:rsidRPr="00496899">
        <w:rPr>
          <w:b/>
          <w:bCs/>
        </w:rPr>
        <w:t xml:space="preserve"> </w:t>
      </w:r>
      <w:proofErr w:type="spellStart"/>
      <w:r w:rsidRPr="00496899">
        <w:rPr>
          <w:b/>
          <w:bCs/>
        </w:rPr>
        <w:t>teknisk-naturvitenskapelige</w:t>
      </w:r>
      <w:proofErr w:type="spellEnd"/>
      <w:r w:rsidRPr="00496899">
        <w:rPr>
          <w:b/>
          <w:bCs/>
        </w:rPr>
        <w:t xml:space="preserve"> </w:t>
      </w:r>
      <w:proofErr w:type="spellStart"/>
      <w:r w:rsidRPr="00496899">
        <w:rPr>
          <w:b/>
          <w:bCs/>
        </w:rPr>
        <w:t>universitet</w:t>
      </w:r>
      <w:proofErr w:type="spellEnd"/>
      <w:r>
        <w:rPr>
          <w:b/>
          <w:bCs/>
        </w:rPr>
        <w:t xml:space="preserve"> (NTNU) </w:t>
      </w:r>
      <w:r w:rsidRPr="00496899">
        <w:rPr>
          <w:b/>
          <w:bCs/>
        </w:rPr>
        <w:t>/</w:t>
      </w:r>
      <w:r>
        <w:rPr>
          <w:b/>
          <w:bCs/>
        </w:rPr>
        <w:t xml:space="preserve"> </w:t>
      </w:r>
      <w:proofErr w:type="spellStart"/>
      <w:r w:rsidRPr="00496899">
        <w:rPr>
          <w:b/>
          <w:bCs/>
        </w:rPr>
        <w:t>Norwegian</w:t>
      </w:r>
      <w:proofErr w:type="spellEnd"/>
      <w:r w:rsidRPr="00496899">
        <w:rPr>
          <w:b/>
          <w:bCs/>
        </w:rPr>
        <w:t xml:space="preserve"> </w:t>
      </w:r>
      <w:proofErr w:type="spellStart"/>
      <w:r w:rsidRPr="00496899">
        <w:rPr>
          <w:b/>
          <w:bCs/>
        </w:rPr>
        <w:t>University</w:t>
      </w:r>
      <w:proofErr w:type="spellEnd"/>
      <w:r w:rsidRPr="00496899">
        <w:rPr>
          <w:b/>
          <w:bCs/>
        </w:rPr>
        <w:t xml:space="preserve"> </w:t>
      </w:r>
      <w:proofErr w:type="spellStart"/>
      <w:r w:rsidRPr="00496899">
        <w:rPr>
          <w:b/>
          <w:bCs/>
        </w:rPr>
        <w:t>of</w:t>
      </w:r>
      <w:proofErr w:type="spellEnd"/>
      <w:r w:rsidRPr="00496899">
        <w:rPr>
          <w:b/>
          <w:bCs/>
        </w:rPr>
        <w:t xml:space="preserve"> Science </w:t>
      </w:r>
      <w:proofErr w:type="spellStart"/>
      <w:r w:rsidRPr="00496899">
        <w:rPr>
          <w:b/>
          <w:bCs/>
        </w:rPr>
        <w:t>and</w:t>
      </w:r>
      <w:proofErr w:type="spellEnd"/>
      <w:r w:rsidRPr="00496899">
        <w:rPr>
          <w:b/>
          <w:bCs/>
        </w:rPr>
        <w:t xml:space="preserve"> </w:t>
      </w:r>
      <w:proofErr w:type="spellStart"/>
      <w:r w:rsidRPr="00496899">
        <w:rPr>
          <w:b/>
          <w:bCs/>
        </w:rPr>
        <w:t>Technology</w:t>
      </w:r>
      <w:proofErr w:type="spellEnd"/>
      <w:r>
        <w:rPr>
          <w:b/>
          <w:bCs/>
        </w:rPr>
        <w:t>, partner</w:t>
      </w:r>
    </w:p>
    <w:p w14:paraId="0DEB34E7" w14:textId="3C17B2B0" w:rsidR="00E56411" w:rsidRDefault="00E56411" w:rsidP="00E56411">
      <w:r>
        <w:t>NTNU - Norveška univerza za znanost in tehnologijo je univerza z mednarodno usmerjenostjo. Fakulteta za izobraževanje in vseživljenjsko učenje ima 20 raziskovalnih skupin in posameznih raziskovalcev z mednarodno mrežo. Raziskovalna skupina »Podjetniško izobraževanje v osnovnem in srednjem izobraževanju in usposabljanju« (EPSET) velja za močno raziskovalno skupino. EPSET vodi profesor Vegard Johansen, vodilni učenjak na področju podjetniškega izobraževanja.</w:t>
      </w:r>
    </w:p>
    <w:p w14:paraId="742ED730" w14:textId="77777777" w:rsidR="00642E3B" w:rsidRDefault="00642E3B" w:rsidP="00E56411"/>
    <w:p w14:paraId="13593998" w14:textId="77777777" w:rsidR="00E56411" w:rsidRDefault="00E56411" w:rsidP="00E56411">
      <w:r>
        <w:t>EPSET zagotavlja znanje, ki krepi delo na področju podjetniškega izobraževanja v osnovnem in srednjem izobraževanju in usposabljanju. Skupina organizira in sodeluje pri nacionalnih in mednarodnih projektih, objavlja recenzirane članke, raziskovalna poročila in teze, izsledke raziskav pa njeni raziskovalci predstavljajo na konferencah in seminarjih. Veliko raziskovalnih dejavnosti poteka v tesnem sodelovanju s šolami na Norveškem in v tujini. Raziskovalna skupina je izvedla več raziskovalnih projektov v različnih evropskih državah in v ZDA. EPSET je ocenil tudi pedagoško podjetništvo v Namibiji in Ugandi.</w:t>
      </w:r>
    </w:p>
    <w:p w14:paraId="61032E1F" w14:textId="77777777" w:rsidR="00E56411" w:rsidRDefault="00000000" w:rsidP="00E56411">
      <w:hyperlink r:id="rId19" w:history="1">
        <w:r w:rsidR="00E56411" w:rsidRPr="007235D2">
          <w:rPr>
            <w:rStyle w:val="Hiperpovezava"/>
          </w:rPr>
          <w:t>www.ntnu.no</w:t>
        </w:r>
      </w:hyperlink>
      <w:r w:rsidR="00E56411">
        <w:t xml:space="preserve"> </w:t>
      </w:r>
    </w:p>
    <w:p w14:paraId="760BEDA9" w14:textId="77777777" w:rsidR="000D6387" w:rsidRDefault="000D6387" w:rsidP="00BA2CD5"/>
    <w:p w14:paraId="65511379" w14:textId="77777777" w:rsidR="00E13CC8" w:rsidRPr="00C86C03" w:rsidRDefault="00E13CC8" w:rsidP="00BA2CD5"/>
    <w:p w14:paraId="2A89FB92" w14:textId="5B469FFA" w:rsidR="00446212" w:rsidRDefault="00446212" w:rsidP="00E13CC8">
      <w:pPr>
        <w:pStyle w:val="Naslov2"/>
      </w:pPr>
      <w:r w:rsidRPr="00C86C03">
        <w:t>O NORVEŠKEM FINANČNEM MEHANIZMU (NFM), ki financira projekt PoMP, v skupni višini 497.374 €</w:t>
      </w:r>
    </w:p>
    <w:p w14:paraId="3B5587C7" w14:textId="77777777" w:rsidR="00E13CC8" w:rsidRPr="00C86C03" w:rsidRDefault="00E13CC8" w:rsidP="00BA2CD5"/>
    <w:p w14:paraId="0A84D5F3" w14:textId="7424E9EF" w:rsidR="00446212" w:rsidRDefault="00446212" w:rsidP="00BA2CD5">
      <w:r w:rsidRPr="00C86C03">
        <w:t>Norveški finančni mehanizem in Finančni mehanizem EGP predstavljata prispevek Norveške k zeleni, konkurenčni in vključujoči Evropi.</w:t>
      </w:r>
    </w:p>
    <w:p w14:paraId="472F77D3" w14:textId="77777777" w:rsidR="00E13CC8" w:rsidRPr="00C86C03" w:rsidRDefault="00E13CC8" w:rsidP="00BA2CD5"/>
    <w:p w14:paraId="251090D0" w14:textId="0314B931" w:rsidR="00446212" w:rsidRDefault="00446212" w:rsidP="00BA2CD5">
      <w:r w:rsidRPr="00C86C03">
        <w:t>Norveška prek Norveškega finančnega mehanizma in Finančnega mehanizma EGP prispeva k zmanjšanju socialnih in gospodarskih razlik v Evropi ter h krepitvi bilateralnih odnosov z državami upravičenkami v srednji in južni Evropi ter ob Baltiku. Norveška tesno sodeluje z Evropsko unijo na podlagi Sporazuma o Evropskem gospodarskem prostoru (EGP). Skupaj z drugima dvema državama donatoricama je v petih zaporednih obdobjih financiranja med letoma 1994 in 2014 prek finančnih mehanizmov zagotovila sredstva v višini 3,3 milijarde EUR.</w:t>
      </w:r>
    </w:p>
    <w:p w14:paraId="4D11309E" w14:textId="77777777" w:rsidR="00E13CC8" w:rsidRPr="00C86C03" w:rsidRDefault="00E13CC8" w:rsidP="00BA2CD5"/>
    <w:p w14:paraId="0790449F" w14:textId="77777777" w:rsidR="00446212" w:rsidRPr="00C86C03" w:rsidRDefault="00446212" w:rsidP="00BA2CD5">
      <w:r w:rsidRPr="00C86C03">
        <w:t>Norveški finančni mehanizem, ki ga financira samo Norveška, je namenjen državam, ki so pristopile k Evropski uniji po letu 2003. Skupna višina sredstev v okviru Norveškega finančnega mehanizma v obdobju 2014–2021 znaša 1,25 milijarde EUR. Prednostna področja v tem obdobju so naslednja:</w:t>
      </w:r>
    </w:p>
    <w:p w14:paraId="44A53F0F" w14:textId="77777777" w:rsidR="00446212" w:rsidRPr="00C86C03" w:rsidRDefault="00446212" w:rsidP="00BA2CD5">
      <w:r w:rsidRPr="00C86C03">
        <w:t>#1 inovacije, raziskave, izobraževanje in konkurenčnost;</w:t>
      </w:r>
    </w:p>
    <w:p w14:paraId="1270FE3D" w14:textId="77777777" w:rsidR="00446212" w:rsidRPr="00C86C03" w:rsidRDefault="00446212" w:rsidP="00BA2CD5">
      <w:r w:rsidRPr="00C86C03">
        <w:t>#2 socialno vključevanje, zaposlovanje mladih in zmanjševanje revščine;</w:t>
      </w:r>
    </w:p>
    <w:p w14:paraId="13D63132" w14:textId="77777777" w:rsidR="00446212" w:rsidRPr="00C86C03" w:rsidRDefault="00446212" w:rsidP="00BA2CD5">
      <w:r w:rsidRPr="00C86C03">
        <w:t xml:space="preserve">#3 okolje, energija, podnebne spremembe in </w:t>
      </w:r>
      <w:proofErr w:type="spellStart"/>
      <w:r w:rsidRPr="00C86C03">
        <w:t>nizkoogljično</w:t>
      </w:r>
      <w:proofErr w:type="spellEnd"/>
      <w:r w:rsidRPr="00C86C03">
        <w:t xml:space="preserve"> gospodarstvo;</w:t>
      </w:r>
    </w:p>
    <w:p w14:paraId="1B2A0623" w14:textId="77777777" w:rsidR="00446212" w:rsidRPr="00C86C03" w:rsidRDefault="00446212" w:rsidP="00BA2CD5">
      <w:r w:rsidRPr="00C86C03">
        <w:t>#4 kultura, civilna družba, dobro upravljanje ter temeljne pravice in svoboščine;</w:t>
      </w:r>
    </w:p>
    <w:p w14:paraId="363A1E51" w14:textId="42A9536C" w:rsidR="00446212" w:rsidRDefault="00446212" w:rsidP="00BA2CD5">
      <w:r w:rsidRPr="00C86C03">
        <w:t>#5 pravosodje in notranje zadeve.</w:t>
      </w:r>
    </w:p>
    <w:p w14:paraId="74F226C8" w14:textId="08C6AA9D" w:rsidR="000D6387" w:rsidRDefault="000D6387" w:rsidP="00BA2CD5"/>
    <w:p w14:paraId="6EA9ECB4" w14:textId="09F18BC4" w:rsidR="00446212" w:rsidRDefault="008E32D2" w:rsidP="00BA2CD5">
      <w:r w:rsidRPr="008E32D2">
        <w:t xml:space="preserve">Slogan </w:t>
      </w:r>
      <w:r w:rsidRPr="008E32D2">
        <w:rPr>
          <w:b/>
          <w:bCs/>
        </w:rPr>
        <w:t xml:space="preserve">»Sodelujemo skupaj za </w:t>
      </w:r>
      <w:r w:rsidRPr="008E32D2">
        <w:rPr>
          <w:b/>
          <w:bCs/>
          <w:color w:val="1FD17E"/>
        </w:rPr>
        <w:t xml:space="preserve">zeleno, </w:t>
      </w:r>
      <w:r w:rsidRPr="008E32D2">
        <w:rPr>
          <w:b/>
          <w:bCs/>
          <w:color w:val="FF0000"/>
        </w:rPr>
        <w:t xml:space="preserve">konkurenčno </w:t>
      </w:r>
      <w:r w:rsidRPr="008E32D2">
        <w:rPr>
          <w:b/>
          <w:bCs/>
        </w:rPr>
        <w:t xml:space="preserve">in </w:t>
      </w:r>
      <w:r w:rsidRPr="008E32D2">
        <w:rPr>
          <w:b/>
          <w:bCs/>
          <w:color w:val="002F95"/>
        </w:rPr>
        <w:t xml:space="preserve">vključujočo </w:t>
      </w:r>
      <w:r w:rsidRPr="008E32D2">
        <w:rPr>
          <w:b/>
          <w:bCs/>
        </w:rPr>
        <w:t xml:space="preserve">Evropo« </w:t>
      </w:r>
      <w:r w:rsidRPr="008E32D2">
        <w:rPr>
          <w:i/>
          <w:iCs/>
        </w:rPr>
        <w:t>(»</w:t>
      </w:r>
      <w:proofErr w:type="spellStart"/>
      <w:r w:rsidRPr="008E32D2">
        <w:rPr>
          <w:i/>
          <w:iCs/>
        </w:rPr>
        <w:t>Working</w:t>
      </w:r>
      <w:proofErr w:type="spellEnd"/>
      <w:r w:rsidRPr="008E32D2">
        <w:rPr>
          <w:i/>
          <w:iCs/>
        </w:rPr>
        <w:t xml:space="preserve"> </w:t>
      </w:r>
      <w:proofErr w:type="spellStart"/>
      <w:r w:rsidRPr="008E32D2">
        <w:rPr>
          <w:i/>
          <w:iCs/>
        </w:rPr>
        <w:t>together</w:t>
      </w:r>
      <w:proofErr w:type="spellEnd"/>
      <w:r w:rsidRPr="008E32D2">
        <w:rPr>
          <w:i/>
          <w:iCs/>
        </w:rPr>
        <w:t xml:space="preserve"> </w:t>
      </w:r>
      <w:proofErr w:type="spellStart"/>
      <w:r w:rsidRPr="008E32D2">
        <w:rPr>
          <w:i/>
          <w:iCs/>
        </w:rPr>
        <w:t>for</w:t>
      </w:r>
      <w:proofErr w:type="spellEnd"/>
      <w:r w:rsidRPr="008E32D2">
        <w:rPr>
          <w:i/>
          <w:iCs/>
        </w:rPr>
        <w:t xml:space="preserve"> a </w:t>
      </w:r>
      <w:proofErr w:type="spellStart"/>
      <w:r w:rsidRPr="008E32D2">
        <w:rPr>
          <w:i/>
          <w:iCs/>
        </w:rPr>
        <w:t>green</w:t>
      </w:r>
      <w:proofErr w:type="spellEnd"/>
      <w:r w:rsidRPr="008E32D2">
        <w:rPr>
          <w:i/>
          <w:iCs/>
        </w:rPr>
        <w:t xml:space="preserve">, </w:t>
      </w:r>
      <w:proofErr w:type="spellStart"/>
      <w:r w:rsidRPr="008E32D2">
        <w:rPr>
          <w:i/>
          <w:iCs/>
        </w:rPr>
        <w:t>competitive</w:t>
      </w:r>
      <w:proofErr w:type="spellEnd"/>
      <w:r w:rsidRPr="008E32D2">
        <w:rPr>
          <w:i/>
          <w:iCs/>
        </w:rPr>
        <w:t xml:space="preserve"> </w:t>
      </w:r>
      <w:proofErr w:type="spellStart"/>
      <w:r w:rsidRPr="008E32D2">
        <w:rPr>
          <w:i/>
          <w:iCs/>
        </w:rPr>
        <w:t>and</w:t>
      </w:r>
      <w:proofErr w:type="spellEnd"/>
      <w:r w:rsidRPr="008E32D2">
        <w:rPr>
          <w:i/>
          <w:iCs/>
        </w:rPr>
        <w:t xml:space="preserve"> </w:t>
      </w:r>
      <w:proofErr w:type="spellStart"/>
      <w:r w:rsidRPr="008E32D2">
        <w:rPr>
          <w:i/>
          <w:iCs/>
        </w:rPr>
        <w:t>inclusive</w:t>
      </w:r>
      <w:proofErr w:type="spellEnd"/>
      <w:r w:rsidRPr="008E32D2">
        <w:rPr>
          <w:i/>
          <w:iCs/>
        </w:rPr>
        <w:t xml:space="preserve"> </w:t>
      </w:r>
      <w:proofErr w:type="spellStart"/>
      <w:r w:rsidRPr="008E32D2">
        <w:rPr>
          <w:i/>
          <w:iCs/>
        </w:rPr>
        <w:t>Europe</w:t>
      </w:r>
      <w:proofErr w:type="spellEnd"/>
      <w:r w:rsidRPr="008E32D2">
        <w:rPr>
          <w:i/>
          <w:iCs/>
        </w:rPr>
        <w:t xml:space="preserve">«) </w:t>
      </w:r>
      <w:r w:rsidRPr="008E32D2">
        <w:t>je temeljno sporočilo finančnih mehanizmov, ki ga uporabljajo vsi vpeti v komuniciranje in obveščanje o finančnih mehanizmih.</w:t>
      </w:r>
    </w:p>
    <w:p w14:paraId="128B8DDC" w14:textId="77777777" w:rsidR="008E32D2" w:rsidRPr="008E32D2" w:rsidRDefault="008E32D2" w:rsidP="00BA2CD5"/>
    <w:p w14:paraId="07EAA915" w14:textId="77777777" w:rsidR="00446212" w:rsidRPr="00C86C03" w:rsidRDefault="00446212" w:rsidP="00BA2CD5">
      <w:r w:rsidRPr="00C86C03">
        <w:t xml:space="preserve">Spletna stran NFM: </w:t>
      </w:r>
      <w:hyperlink r:id="rId20" w:history="1">
        <w:r w:rsidRPr="00C86C03">
          <w:rPr>
            <w:rStyle w:val="Hiperpovezava"/>
          </w:rPr>
          <w:t>https://www.norwaygrants.si/</w:t>
        </w:r>
      </w:hyperlink>
    </w:p>
    <w:p w14:paraId="6A82872D" w14:textId="77777777" w:rsidR="00891174" w:rsidRPr="00C86C03" w:rsidRDefault="00891174" w:rsidP="00BA2CD5"/>
    <w:p w14:paraId="16725A5B" w14:textId="77777777" w:rsidR="00891174" w:rsidRPr="00C86C03" w:rsidRDefault="00891174" w:rsidP="00BA2CD5"/>
    <w:p w14:paraId="0069FB6A" w14:textId="77777777" w:rsidR="00E53938" w:rsidRDefault="00E53938" w:rsidP="00BA2CD5"/>
    <w:p w14:paraId="0EDC5F81" w14:textId="067D48A6" w:rsidR="00891174" w:rsidRPr="00C86C03" w:rsidRDefault="00CE2A19" w:rsidP="00BA2CD5">
      <w:r>
        <w:t>Pripravil</w:t>
      </w:r>
      <w:r w:rsidR="00E53938">
        <w:t>i</w:t>
      </w:r>
      <w:r>
        <w:t>: projektna ekipa PoMP na ZRS Bistra Ptuj</w:t>
      </w:r>
    </w:p>
    <w:sectPr w:rsidR="00891174" w:rsidRPr="00C86C03" w:rsidSect="00B71360">
      <w:headerReference w:type="default" r:id="rId21"/>
      <w:footerReference w:type="default" r:id="rId22"/>
      <w:pgSz w:w="11906" w:h="16838"/>
      <w:pgMar w:top="1310" w:right="851" w:bottom="1418" w:left="851"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E052" w14:textId="77777777" w:rsidR="009D2A90" w:rsidRDefault="009D2A90" w:rsidP="00BA2CD5">
      <w:r>
        <w:separator/>
      </w:r>
    </w:p>
  </w:endnote>
  <w:endnote w:type="continuationSeparator" w:id="0">
    <w:p w14:paraId="7FAC7248" w14:textId="77777777" w:rsidR="009D2A90" w:rsidRDefault="009D2A90" w:rsidP="00B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CFC5" w14:textId="0A9BF4EF" w:rsidR="00FD5408" w:rsidRDefault="00FD5408" w:rsidP="00FD5408">
    <w:pPr>
      <w:pStyle w:val="Noga"/>
      <w:jc w:val="center"/>
      <w:rPr>
        <w:b/>
        <w:bCs/>
      </w:rPr>
    </w:pPr>
    <w:r w:rsidRPr="008E32D2">
      <w:rPr>
        <w:b/>
        <w:bCs/>
      </w:rPr>
      <w:t xml:space="preserve">Sodelujemo skupaj za </w:t>
    </w:r>
    <w:r w:rsidRPr="008E32D2">
      <w:rPr>
        <w:b/>
        <w:bCs/>
        <w:color w:val="1FD17E"/>
      </w:rPr>
      <w:t xml:space="preserve">zeleno, </w:t>
    </w:r>
    <w:r w:rsidRPr="008E32D2">
      <w:rPr>
        <w:b/>
        <w:bCs/>
        <w:color w:val="FF0000"/>
      </w:rPr>
      <w:t xml:space="preserve">konkurenčno </w:t>
    </w:r>
    <w:r w:rsidRPr="008E32D2">
      <w:rPr>
        <w:b/>
        <w:bCs/>
      </w:rPr>
      <w:t xml:space="preserve">in </w:t>
    </w:r>
    <w:r w:rsidRPr="008E32D2">
      <w:rPr>
        <w:b/>
        <w:bCs/>
        <w:color w:val="002F95"/>
      </w:rPr>
      <w:t xml:space="preserve">vključujočo </w:t>
    </w:r>
    <w:r w:rsidRPr="008E32D2">
      <w:rPr>
        <w:b/>
        <w:bCs/>
      </w:rPr>
      <w:t>Evropo</w:t>
    </w:r>
    <w:r>
      <w:rPr>
        <w:b/>
        <w:bCs/>
      </w:rPr>
      <w:t>.</w:t>
    </w:r>
  </w:p>
  <w:p w14:paraId="29C8D6E0" w14:textId="2399A4E0" w:rsidR="00FD5408" w:rsidRDefault="00FD5408" w:rsidP="00BA2CD5">
    <w:pPr>
      <w:pStyle w:val="Noga"/>
      <w:rPr>
        <w:b/>
        <w:bCs/>
      </w:rPr>
    </w:pPr>
  </w:p>
  <w:p w14:paraId="235C36E9" w14:textId="07B3F161" w:rsidR="00FD5408" w:rsidRDefault="00FD5408" w:rsidP="00BA2CD5">
    <w:pPr>
      <w:pStyle w:val="Noga"/>
      <w:rPr>
        <w:b/>
        <w:bCs/>
      </w:rPr>
    </w:pPr>
    <w:r>
      <w:rPr>
        <w:noProof/>
        <w:lang w:val="en-GB" w:eastAsia="en-GB"/>
      </w:rPr>
      <w:drawing>
        <wp:anchor distT="0" distB="0" distL="114300" distR="114300" simplePos="0" relativeHeight="251657215" behindDoc="1" locked="0" layoutInCell="1" allowOverlap="1" wp14:anchorId="66050FA1" wp14:editId="485021F0">
          <wp:simplePos x="0" y="0"/>
          <wp:positionH relativeFrom="page">
            <wp:posOffset>0</wp:posOffset>
          </wp:positionH>
          <wp:positionV relativeFrom="page">
            <wp:posOffset>9531350</wp:posOffset>
          </wp:positionV>
          <wp:extent cx="7560000" cy="1134000"/>
          <wp:effectExtent l="0" t="0" r="3175" b="9525"/>
          <wp:wrapNone/>
          <wp:docPr id="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134000"/>
                  </a:xfrm>
                  <a:prstGeom prst="rect">
                    <a:avLst/>
                  </a:prstGeom>
                </pic:spPr>
              </pic:pic>
            </a:graphicData>
          </a:graphic>
          <wp14:sizeRelH relativeFrom="margin">
            <wp14:pctWidth>0</wp14:pctWidth>
          </wp14:sizeRelH>
          <wp14:sizeRelV relativeFrom="margin">
            <wp14:pctHeight>0</wp14:pctHeight>
          </wp14:sizeRelV>
        </wp:anchor>
      </w:drawing>
    </w:r>
  </w:p>
  <w:p w14:paraId="30E7C279" w14:textId="77777777" w:rsidR="00FD5408" w:rsidRDefault="00FD5408" w:rsidP="00BA2CD5">
    <w:pPr>
      <w:pStyle w:val="Noga"/>
      <w:rPr>
        <w:b/>
        <w:bCs/>
      </w:rPr>
    </w:pPr>
  </w:p>
  <w:p w14:paraId="6DEDB1C4" w14:textId="6ECD6A1B" w:rsidR="00FD5408" w:rsidRDefault="00FD5408" w:rsidP="00BA2CD5">
    <w:pPr>
      <w:pStyle w:val="Noga"/>
      <w:rPr>
        <w:b/>
        <w:bCs/>
      </w:rPr>
    </w:pPr>
  </w:p>
  <w:p w14:paraId="1C021976" w14:textId="77777777" w:rsidR="00FD5408" w:rsidRDefault="00FD5408" w:rsidP="00BA2CD5">
    <w:pPr>
      <w:pStyle w:val="Noga"/>
      <w:rPr>
        <w:b/>
        <w:bCs/>
      </w:rPr>
    </w:pPr>
  </w:p>
  <w:p w14:paraId="2BB2BB26" w14:textId="77777777" w:rsidR="00FD5408" w:rsidRDefault="00FD5408" w:rsidP="00BA2CD5">
    <w:pPr>
      <w:pStyle w:val="Noga"/>
      <w:rPr>
        <w:b/>
        <w:bCs/>
      </w:rPr>
    </w:pPr>
  </w:p>
  <w:p w14:paraId="11E1ADD5" w14:textId="6D5EBFD1" w:rsidR="005A3C72" w:rsidRDefault="00FD5408" w:rsidP="00BA2CD5">
    <w:pPr>
      <w:pStyle w:val="Noga"/>
    </w:pPr>
    <w:r>
      <w:rPr>
        <w:noProof/>
        <w:lang w:val="en-GB"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B6EC" w14:textId="77777777" w:rsidR="009D2A90" w:rsidRDefault="009D2A90" w:rsidP="00BA2CD5">
      <w:r>
        <w:separator/>
      </w:r>
    </w:p>
  </w:footnote>
  <w:footnote w:type="continuationSeparator" w:id="0">
    <w:p w14:paraId="42E77699" w14:textId="77777777" w:rsidR="009D2A90" w:rsidRDefault="009D2A90" w:rsidP="00BA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8487" w14:textId="0B79EEE5" w:rsidR="005A3C72" w:rsidRDefault="005A3C72" w:rsidP="00BA2CD5">
    <w:pPr>
      <w:pStyle w:val="Glava"/>
    </w:pPr>
    <w:r>
      <w:rPr>
        <w:noProof/>
        <w:lang w:val="en-GB" w:eastAsia="en-GB"/>
      </w:rPr>
      <w:drawing>
        <wp:anchor distT="0" distB="0" distL="114300" distR="114300" simplePos="0" relativeHeight="251658240" behindDoc="0" locked="0" layoutInCell="1" allowOverlap="1" wp14:anchorId="5FCE90FF" wp14:editId="42D1B54B">
          <wp:simplePos x="0" y="0"/>
          <wp:positionH relativeFrom="page">
            <wp:posOffset>512</wp:posOffset>
          </wp:positionH>
          <wp:positionV relativeFrom="paragraph">
            <wp:posOffset>0</wp:posOffset>
          </wp:positionV>
          <wp:extent cx="7684381" cy="1518285"/>
          <wp:effectExtent l="0" t="0" r="12065" b="5715"/>
          <wp:wrapSquare wrapText="bothSides"/>
          <wp:docPr id="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684381" cy="1518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498"/>
    <w:multiLevelType w:val="hybridMultilevel"/>
    <w:tmpl w:val="5B649080"/>
    <w:lvl w:ilvl="0" w:tplc="0DFC0378">
      <w:start w:val="1"/>
      <w:numFmt w:val="bullet"/>
      <w:lvlText w:val="•"/>
      <w:lvlJc w:val="left"/>
      <w:pPr>
        <w:tabs>
          <w:tab w:val="num" w:pos="720"/>
        </w:tabs>
        <w:ind w:left="720" w:hanging="360"/>
      </w:pPr>
      <w:rPr>
        <w:rFonts w:ascii="Arial" w:hAnsi="Arial" w:hint="default"/>
      </w:rPr>
    </w:lvl>
    <w:lvl w:ilvl="1" w:tplc="737270D8" w:tentative="1">
      <w:start w:val="1"/>
      <w:numFmt w:val="bullet"/>
      <w:lvlText w:val="•"/>
      <w:lvlJc w:val="left"/>
      <w:pPr>
        <w:tabs>
          <w:tab w:val="num" w:pos="1440"/>
        </w:tabs>
        <w:ind w:left="1440" w:hanging="360"/>
      </w:pPr>
      <w:rPr>
        <w:rFonts w:ascii="Arial" w:hAnsi="Arial" w:hint="default"/>
      </w:rPr>
    </w:lvl>
    <w:lvl w:ilvl="2" w:tplc="6896C364" w:tentative="1">
      <w:start w:val="1"/>
      <w:numFmt w:val="bullet"/>
      <w:lvlText w:val="•"/>
      <w:lvlJc w:val="left"/>
      <w:pPr>
        <w:tabs>
          <w:tab w:val="num" w:pos="2160"/>
        </w:tabs>
        <w:ind w:left="2160" w:hanging="360"/>
      </w:pPr>
      <w:rPr>
        <w:rFonts w:ascii="Arial" w:hAnsi="Arial" w:hint="default"/>
      </w:rPr>
    </w:lvl>
    <w:lvl w:ilvl="3" w:tplc="5D306448" w:tentative="1">
      <w:start w:val="1"/>
      <w:numFmt w:val="bullet"/>
      <w:lvlText w:val="•"/>
      <w:lvlJc w:val="left"/>
      <w:pPr>
        <w:tabs>
          <w:tab w:val="num" w:pos="2880"/>
        </w:tabs>
        <w:ind w:left="2880" w:hanging="360"/>
      </w:pPr>
      <w:rPr>
        <w:rFonts w:ascii="Arial" w:hAnsi="Arial" w:hint="default"/>
      </w:rPr>
    </w:lvl>
    <w:lvl w:ilvl="4" w:tplc="91DC4172" w:tentative="1">
      <w:start w:val="1"/>
      <w:numFmt w:val="bullet"/>
      <w:lvlText w:val="•"/>
      <w:lvlJc w:val="left"/>
      <w:pPr>
        <w:tabs>
          <w:tab w:val="num" w:pos="3600"/>
        </w:tabs>
        <w:ind w:left="3600" w:hanging="360"/>
      </w:pPr>
      <w:rPr>
        <w:rFonts w:ascii="Arial" w:hAnsi="Arial" w:hint="default"/>
      </w:rPr>
    </w:lvl>
    <w:lvl w:ilvl="5" w:tplc="02468922" w:tentative="1">
      <w:start w:val="1"/>
      <w:numFmt w:val="bullet"/>
      <w:lvlText w:val="•"/>
      <w:lvlJc w:val="left"/>
      <w:pPr>
        <w:tabs>
          <w:tab w:val="num" w:pos="4320"/>
        </w:tabs>
        <w:ind w:left="4320" w:hanging="360"/>
      </w:pPr>
      <w:rPr>
        <w:rFonts w:ascii="Arial" w:hAnsi="Arial" w:hint="default"/>
      </w:rPr>
    </w:lvl>
    <w:lvl w:ilvl="6" w:tplc="44328AC6" w:tentative="1">
      <w:start w:val="1"/>
      <w:numFmt w:val="bullet"/>
      <w:lvlText w:val="•"/>
      <w:lvlJc w:val="left"/>
      <w:pPr>
        <w:tabs>
          <w:tab w:val="num" w:pos="5040"/>
        </w:tabs>
        <w:ind w:left="5040" w:hanging="360"/>
      </w:pPr>
      <w:rPr>
        <w:rFonts w:ascii="Arial" w:hAnsi="Arial" w:hint="default"/>
      </w:rPr>
    </w:lvl>
    <w:lvl w:ilvl="7" w:tplc="6F2A1FA8" w:tentative="1">
      <w:start w:val="1"/>
      <w:numFmt w:val="bullet"/>
      <w:lvlText w:val="•"/>
      <w:lvlJc w:val="left"/>
      <w:pPr>
        <w:tabs>
          <w:tab w:val="num" w:pos="5760"/>
        </w:tabs>
        <w:ind w:left="5760" w:hanging="360"/>
      </w:pPr>
      <w:rPr>
        <w:rFonts w:ascii="Arial" w:hAnsi="Arial" w:hint="default"/>
      </w:rPr>
    </w:lvl>
    <w:lvl w:ilvl="8" w:tplc="CA34A8B0" w:tentative="1">
      <w:start w:val="1"/>
      <w:numFmt w:val="bullet"/>
      <w:lvlText w:val="•"/>
      <w:lvlJc w:val="left"/>
      <w:pPr>
        <w:tabs>
          <w:tab w:val="num" w:pos="6480"/>
        </w:tabs>
        <w:ind w:left="6480" w:hanging="360"/>
      </w:pPr>
      <w:rPr>
        <w:rFonts w:ascii="Arial" w:hAnsi="Arial" w:hint="default"/>
      </w:rPr>
    </w:lvl>
  </w:abstractNum>
  <w:num w:numId="1" w16cid:durableId="151010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72"/>
    <w:rsid w:val="00005FA0"/>
    <w:rsid w:val="000D6387"/>
    <w:rsid w:val="000F3FAD"/>
    <w:rsid w:val="000F71FF"/>
    <w:rsid w:val="000F7B90"/>
    <w:rsid w:val="001A3A95"/>
    <w:rsid w:val="00225663"/>
    <w:rsid w:val="00247B7E"/>
    <w:rsid w:val="00265A01"/>
    <w:rsid w:val="002E1456"/>
    <w:rsid w:val="002F10C4"/>
    <w:rsid w:val="003357DF"/>
    <w:rsid w:val="00381DC7"/>
    <w:rsid w:val="00446212"/>
    <w:rsid w:val="004B48FD"/>
    <w:rsid w:val="00503F09"/>
    <w:rsid w:val="005242E2"/>
    <w:rsid w:val="00530BD9"/>
    <w:rsid w:val="0053653E"/>
    <w:rsid w:val="00540C4D"/>
    <w:rsid w:val="00575ED6"/>
    <w:rsid w:val="005A3C72"/>
    <w:rsid w:val="005B0D1E"/>
    <w:rsid w:val="005C4323"/>
    <w:rsid w:val="005E701B"/>
    <w:rsid w:val="005F6155"/>
    <w:rsid w:val="00610BF1"/>
    <w:rsid w:val="00612D98"/>
    <w:rsid w:val="00636E0F"/>
    <w:rsid w:val="00642E3B"/>
    <w:rsid w:val="00651469"/>
    <w:rsid w:val="00683448"/>
    <w:rsid w:val="006E7EDC"/>
    <w:rsid w:val="00705E45"/>
    <w:rsid w:val="007C3E09"/>
    <w:rsid w:val="00802633"/>
    <w:rsid w:val="00807C71"/>
    <w:rsid w:val="00812918"/>
    <w:rsid w:val="0081753C"/>
    <w:rsid w:val="00820BB5"/>
    <w:rsid w:val="0082531A"/>
    <w:rsid w:val="008349D7"/>
    <w:rsid w:val="008747F3"/>
    <w:rsid w:val="00880594"/>
    <w:rsid w:val="00891174"/>
    <w:rsid w:val="0089669A"/>
    <w:rsid w:val="008E32D2"/>
    <w:rsid w:val="00953DB3"/>
    <w:rsid w:val="009615AC"/>
    <w:rsid w:val="009716D6"/>
    <w:rsid w:val="00977317"/>
    <w:rsid w:val="009D2A90"/>
    <w:rsid w:val="009E4E84"/>
    <w:rsid w:val="00A36DEE"/>
    <w:rsid w:val="00A4390D"/>
    <w:rsid w:val="00A96F40"/>
    <w:rsid w:val="00AA5743"/>
    <w:rsid w:val="00B06DAD"/>
    <w:rsid w:val="00B67582"/>
    <w:rsid w:val="00B71360"/>
    <w:rsid w:val="00B849FC"/>
    <w:rsid w:val="00BA2CD5"/>
    <w:rsid w:val="00BA6C84"/>
    <w:rsid w:val="00BD0842"/>
    <w:rsid w:val="00BD5DE3"/>
    <w:rsid w:val="00BE299E"/>
    <w:rsid w:val="00C2501A"/>
    <w:rsid w:val="00C254DC"/>
    <w:rsid w:val="00C37A85"/>
    <w:rsid w:val="00C86C03"/>
    <w:rsid w:val="00CE2A19"/>
    <w:rsid w:val="00CF0954"/>
    <w:rsid w:val="00D01E31"/>
    <w:rsid w:val="00D231A6"/>
    <w:rsid w:val="00D62133"/>
    <w:rsid w:val="00D6348D"/>
    <w:rsid w:val="00D92CAC"/>
    <w:rsid w:val="00DE6551"/>
    <w:rsid w:val="00DF7F35"/>
    <w:rsid w:val="00E13CC8"/>
    <w:rsid w:val="00E23C10"/>
    <w:rsid w:val="00E312C2"/>
    <w:rsid w:val="00E53938"/>
    <w:rsid w:val="00E56411"/>
    <w:rsid w:val="00E56DE7"/>
    <w:rsid w:val="00E61615"/>
    <w:rsid w:val="00E8406C"/>
    <w:rsid w:val="00EA70C7"/>
    <w:rsid w:val="00EB0061"/>
    <w:rsid w:val="00EB7D1B"/>
    <w:rsid w:val="00ED1F54"/>
    <w:rsid w:val="00EE1038"/>
    <w:rsid w:val="00F17579"/>
    <w:rsid w:val="00F94393"/>
    <w:rsid w:val="00FD3CD1"/>
    <w:rsid w:val="00FD54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1364"/>
  <w15:chartTrackingRefBased/>
  <w15:docId w15:val="{34113310-1FA2-4D7F-9B14-E4DCA499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rsid w:val="00BA2CD5"/>
    <w:pPr>
      <w:spacing w:after="0"/>
      <w:jc w:val="both"/>
    </w:pPr>
    <w:rPr>
      <w:rFonts w:ascii="Arial" w:hAnsi="Arial" w:cs="Arial"/>
      <w:sz w:val="18"/>
      <w:szCs w:val="18"/>
    </w:rPr>
  </w:style>
  <w:style w:type="paragraph" w:styleId="Naslov1">
    <w:name w:val="heading 1"/>
    <w:basedOn w:val="Navaden"/>
    <w:next w:val="Navaden"/>
    <w:link w:val="Naslov1Znak"/>
    <w:uiPriority w:val="9"/>
    <w:qFormat/>
    <w:rsid w:val="00E23C10"/>
    <w:pPr>
      <w:spacing w:before="240"/>
      <w:outlineLvl w:val="0"/>
    </w:pPr>
    <w:rPr>
      <w:b/>
      <w:bCs/>
      <w:color w:val="0F3C74"/>
      <w:sz w:val="44"/>
      <w:szCs w:val="44"/>
      <w:lang w:val="nb-NO"/>
    </w:rPr>
  </w:style>
  <w:style w:type="paragraph" w:styleId="Naslov2">
    <w:name w:val="heading 2"/>
    <w:basedOn w:val="Navaden"/>
    <w:next w:val="Navaden"/>
    <w:link w:val="Naslov2Znak"/>
    <w:uiPriority w:val="9"/>
    <w:unhideWhenUsed/>
    <w:qFormat/>
    <w:rsid w:val="00880594"/>
    <w:pPr>
      <w:spacing w:before="240"/>
      <w:outlineLvl w:val="1"/>
    </w:pPr>
    <w:rPr>
      <w:b/>
      <w:color w:val="0F3C74"/>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A3C72"/>
    <w:pPr>
      <w:tabs>
        <w:tab w:val="center" w:pos="4536"/>
        <w:tab w:val="right" w:pos="9072"/>
      </w:tabs>
      <w:spacing w:line="240" w:lineRule="auto"/>
    </w:pPr>
  </w:style>
  <w:style w:type="character" w:customStyle="1" w:styleId="GlavaZnak">
    <w:name w:val="Glava Znak"/>
    <w:basedOn w:val="Privzetapisavaodstavka"/>
    <w:link w:val="Glava"/>
    <w:uiPriority w:val="99"/>
    <w:rsid w:val="005A3C72"/>
  </w:style>
  <w:style w:type="paragraph" w:styleId="Noga">
    <w:name w:val="footer"/>
    <w:basedOn w:val="Navaden"/>
    <w:link w:val="NogaZnak"/>
    <w:uiPriority w:val="99"/>
    <w:unhideWhenUsed/>
    <w:rsid w:val="005A3C72"/>
    <w:pPr>
      <w:tabs>
        <w:tab w:val="center" w:pos="4536"/>
        <w:tab w:val="right" w:pos="9072"/>
      </w:tabs>
      <w:spacing w:line="240" w:lineRule="auto"/>
    </w:pPr>
  </w:style>
  <w:style w:type="character" w:customStyle="1" w:styleId="NogaZnak">
    <w:name w:val="Noga Znak"/>
    <w:basedOn w:val="Privzetapisavaodstavka"/>
    <w:link w:val="Noga"/>
    <w:uiPriority w:val="99"/>
    <w:rsid w:val="005A3C72"/>
  </w:style>
  <w:style w:type="character" w:styleId="Hiperpovezava">
    <w:name w:val="Hyperlink"/>
    <w:basedOn w:val="Privzetapisavaodstavka"/>
    <w:uiPriority w:val="99"/>
    <w:semiHidden/>
    <w:unhideWhenUsed/>
    <w:rsid w:val="00446212"/>
    <w:rPr>
      <w:color w:val="0563C1"/>
      <w:u w:val="single"/>
    </w:rPr>
  </w:style>
  <w:style w:type="character" w:customStyle="1" w:styleId="Naslov2Znak">
    <w:name w:val="Naslov 2 Znak"/>
    <w:basedOn w:val="Privzetapisavaodstavka"/>
    <w:link w:val="Naslov2"/>
    <w:uiPriority w:val="9"/>
    <w:rsid w:val="00880594"/>
    <w:rPr>
      <w:rFonts w:ascii="Arial" w:hAnsi="Arial" w:cs="Arial"/>
      <w:b/>
      <w:color w:val="0F3C74"/>
      <w:sz w:val="24"/>
      <w:szCs w:val="24"/>
    </w:rPr>
  </w:style>
  <w:style w:type="character" w:customStyle="1" w:styleId="Naslov1Znak">
    <w:name w:val="Naslov 1 Znak"/>
    <w:basedOn w:val="Privzetapisavaodstavka"/>
    <w:link w:val="Naslov1"/>
    <w:uiPriority w:val="9"/>
    <w:rsid w:val="00E23C10"/>
    <w:rPr>
      <w:rFonts w:ascii="Arial" w:hAnsi="Arial" w:cs="Arial"/>
      <w:b/>
      <w:bCs/>
      <w:color w:val="0F3C74"/>
      <w:sz w:val="44"/>
      <w:szCs w:val="44"/>
      <w:lang w:val="nb-NO"/>
    </w:rPr>
  </w:style>
  <w:style w:type="table" w:styleId="Tabelamrea">
    <w:name w:val="Table Grid"/>
    <w:basedOn w:val="Navadnatabela"/>
    <w:uiPriority w:val="39"/>
    <w:rsid w:val="004B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06659">
      <w:bodyDiv w:val="1"/>
      <w:marLeft w:val="0"/>
      <w:marRight w:val="0"/>
      <w:marTop w:val="0"/>
      <w:marBottom w:val="0"/>
      <w:divBdr>
        <w:top w:val="none" w:sz="0" w:space="0" w:color="auto"/>
        <w:left w:val="none" w:sz="0" w:space="0" w:color="auto"/>
        <w:bottom w:val="none" w:sz="0" w:space="0" w:color="auto"/>
        <w:right w:val="none" w:sz="0" w:space="0" w:color="auto"/>
      </w:divBdr>
    </w:div>
    <w:div w:id="1305281231">
      <w:bodyDiv w:val="1"/>
      <w:marLeft w:val="0"/>
      <w:marRight w:val="0"/>
      <w:marTop w:val="0"/>
      <w:marBottom w:val="0"/>
      <w:divBdr>
        <w:top w:val="none" w:sz="0" w:space="0" w:color="auto"/>
        <w:left w:val="none" w:sz="0" w:space="0" w:color="auto"/>
        <w:bottom w:val="none" w:sz="0" w:space="0" w:color="auto"/>
        <w:right w:val="none" w:sz="0" w:space="0" w:color="auto"/>
      </w:divBdr>
      <w:divsChild>
        <w:div w:id="682165787">
          <w:marLeft w:val="72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mp-ng.si/" TargetMode="External"/><Relationship Id="rId13" Type="http://schemas.openxmlformats.org/officeDocument/2006/relationships/hyperlink" Target="mailto:katja.pregelj@primorski-tp.si" TargetMode="External"/><Relationship Id="rId18" Type="http://schemas.openxmlformats.org/officeDocument/2006/relationships/hyperlink" Target="https://sasainkubator.s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ilan.lazarevic@tp-lj.si" TargetMode="External"/><Relationship Id="rId17" Type="http://schemas.openxmlformats.org/officeDocument/2006/relationships/hyperlink" Target="http://www.tp-lj.si/sl" TargetMode="External"/><Relationship Id="rId2" Type="http://schemas.openxmlformats.org/officeDocument/2006/relationships/numbering" Target="numbering.xml"/><Relationship Id="rId16" Type="http://schemas.openxmlformats.org/officeDocument/2006/relationships/hyperlink" Target="http://www.rc-nm.si" TargetMode="External"/><Relationship Id="rId20" Type="http://schemas.openxmlformats.org/officeDocument/2006/relationships/hyperlink" Target="https://www.norwaygrant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z.gorenc@rc-nm.s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imorski-tp.si/" TargetMode="External"/><Relationship Id="rId23" Type="http://schemas.openxmlformats.org/officeDocument/2006/relationships/fontTable" Target="fontTable.xml"/><Relationship Id="rId10" Type="http://schemas.openxmlformats.org/officeDocument/2006/relationships/hyperlink" Target="mailto:jan.skok@sasainkubator.si" TargetMode="External"/><Relationship Id="rId19" Type="http://schemas.openxmlformats.org/officeDocument/2006/relationships/hyperlink" Target="http://www.ntnu.no" TargetMode="External"/><Relationship Id="rId4" Type="http://schemas.openxmlformats.org/officeDocument/2006/relationships/settings" Target="settings.xml"/><Relationship Id="rId9" Type="http://schemas.openxmlformats.org/officeDocument/2006/relationships/hyperlink" Target="mailto:lidija.tusek@bistra.si" TargetMode="External"/><Relationship Id="rId14" Type="http://schemas.openxmlformats.org/officeDocument/2006/relationships/hyperlink" Target="http://www.bistra.si"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D4EC1-7348-CB41-91F2-8627961E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Lazarević</dc:creator>
  <cp:keywords/>
  <dc:description/>
  <cp:lastModifiedBy>Dr. Lidija Tušek, ZRS Bistra Ptuj</cp:lastModifiedBy>
  <cp:revision>8</cp:revision>
  <dcterms:created xsi:type="dcterms:W3CDTF">2022-11-18T13:47:00Z</dcterms:created>
  <dcterms:modified xsi:type="dcterms:W3CDTF">2022-11-18T13:52:00Z</dcterms:modified>
</cp:coreProperties>
</file>